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line="360" w:lineRule="auto"/>
        <w:jc w:val="center"/>
        <w:outlineLvl w:val="1"/>
        <w:rPr>
          <w:rFonts w:hAnsi="宋体" w:cs="Times New Roman"/>
          <w:b/>
          <w:color w:val="000000"/>
          <w:sz w:val="32"/>
          <w:szCs w:val="32"/>
        </w:rPr>
      </w:pPr>
      <w:r>
        <w:rPr>
          <w:rFonts w:hint="eastAsia" w:hAnsi="宋体"/>
          <w:b/>
          <w:sz w:val="32"/>
          <w:szCs w:val="32"/>
          <w:lang w:val="en-US" w:eastAsia="zh-CN"/>
        </w:rPr>
        <w:t xml:space="preserve"> </w:t>
      </w:r>
      <w:r>
        <w:rPr>
          <w:rFonts w:hint="eastAsia" w:hAnsi="宋体"/>
          <w:b/>
          <w:sz w:val="32"/>
          <w:szCs w:val="32"/>
        </w:rPr>
        <w:t>2018</w:t>
      </w:r>
      <w:r>
        <w:rPr>
          <w:rFonts w:hint="eastAsia" w:hAnsi="宋体"/>
          <w:b/>
          <w:sz w:val="32"/>
          <w:szCs w:val="32"/>
          <w:lang w:val="en-US" w:eastAsia="zh-CN"/>
        </w:rPr>
        <w:t>四川</w:t>
      </w:r>
      <w:r>
        <w:rPr>
          <w:rFonts w:hint="eastAsia" w:hAnsi="宋体"/>
          <w:b/>
          <w:sz w:val="32"/>
          <w:szCs w:val="32"/>
        </w:rPr>
        <w:t>成乐</w:t>
      </w:r>
      <w:r>
        <w:rPr>
          <w:rFonts w:hint="eastAsia" w:hAnsi="宋体"/>
          <w:b/>
          <w:sz w:val="32"/>
          <w:szCs w:val="32"/>
          <w:lang w:val="en-US" w:eastAsia="zh-CN"/>
        </w:rPr>
        <w:t>高速公路有限责任公司</w:t>
      </w:r>
      <w:r>
        <w:rPr>
          <w:rFonts w:hint="eastAsia" w:hAnsi="宋体"/>
          <w:b/>
          <w:sz w:val="32"/>
          <w:szCs w:val="32"/>
        </w:rPr>
        <w:t>运营管理分公司</w:t>
      </w:r>
      <w:r>
        <w:rPr>
          <w:rFonts w:hint="eastAsia" w:hAnsi="宋体"/>
          <w:b/>
          <w:sz w:val="32"/>
          <w:szCs w:val="32"/>
          <w:lang w:val="en-US" w:eastAsia="zh-CN"/>
        </w:rPr>
        <w:t>室内</w:t>
      </w:r>
      <w:r>
        <w:rPr>
          <w:rFonts w:hint="eastAsia" w:hAnsi="宋体"/>
          <w:b/>
          <w:sz w:val="32"/>
          <w:szCs w:val="32"/>
        </w:rPr>
        <w:t>LED显示屏项目询价文件</w:t>
      </w:r>
    </w:p>
    <w:p>
      <w:pPr>
        <w:pStyle w:val="2"/>
        <w:keepLines/>
        <w:spacing w:before="340" w:after="330" w:line="360" w:lineRule="auto"/>
        <w:jc w:val="center"/>
        <w:rPr>
          <w:rFonts w:hint="eastAsia" w:ascii="宋体" w:hAnsi="宋体" w:cs="宋体"/>
          <w:b/>
          <w:bCs/>
          <w:color w:val="000000"/>
          <w:kern w:val="44"/>
          <w:sz w:val="30"/>
          <w:szCs w:val="30"/>
          <w:u w:val="none"/>
        </w:rPr>
      </w:pPr>
      <w:r>
        <w:rPr>
          <w:rFonts w:hint="eastAsia" w:ascii="宋体" w:hAnsi="宋体" w:cs="宋体"/>
          <w:b/>
          <w:bCs/>
          <w:color w:val="000000"/>
          <w:kern w:val="44"/>
          <w:sz w:val="30"/>
          <w:szCs w:val="30"/>
          <w:u w:val="none"/>
        </w:rPr>
        <w:t>第一章  询价文件</w:t>
      </w:r>
    </w:p>
    <w:p>
      <w:pPr>
        <w:pStyle w:val="3"/>
        <w:spacing w:line="520" w:lineRule="exact"/>
        <w:ind w:firstLine="562" w:firstLineChars="200"/>
        <w:rPr>
          <w:rFonts w:hAnsi="宋体"/>
          <w:color w:val="000000"/>
          <w:sz w:val="28"/>
          <w:szCs w:val="28"/>
        </w:rPr>
      </w:pPr>
      <w:r>
        <w:rPr>
          <w:rFonts w:hint="eastAsia" w:hAnsi="宋体"/>
          <w:b/>
          <w:color w:val="000000"/>
          <w:sz w:val="28"/>
          <w:szCs w:val="28"/>
          <w:u w:val="single"/>
          <w:shd w:val="clear" w:color="auto" w:fill="auto"/>
        </w:rPr>
        <w:t>2018年</w:t>
      </w:r>
      <w:r>
        <w:rPr>
          <w:rFonts w:hint="eastAsia" w:hAnsi="宋体"/>
          <w:b/>
          <w:color w:val="000000"/>
          <w:sz w:val="28"/>
          <w:szCs w:val="28"/>
          <w:u w:val="single"/>
          <w:shd w:val="clear" w:color="auto" w:fill="auto"/>
          <w:lang w:val="en-US" w:eastAsia="zh-CN"/>
        </w:rPr>
        <w:t>四川成乐高速公路有限责任公司运营管理分公司室内</w:t>
      </w:r>
      <w:r>
        <w:rPr>
          <w:rFonts w:hint="eastAsia" w:hAnsi="宋体"/>
          <w:b/>
          <w:color w:val="000000"/>
          <w:sz w:val="28"/>
          <w:szCs w:val="28"/>
          <w:u w:val="single"/>
          <w:shd w:val="clear" w:color="auto" w:fill="auto"/>
        </w:rPr>
        <w:t>LED显示屏项目</w:t>
      </w:r>
      <w:r>
        <w:rPr>
          <w:rFonts w:hint="eastAsia" w:hAnsi="宋体"/>
          <w:color w:val="000000"/>
          <w:sz w:val="28"/>
          <w:szCs w:val="28"/>
          <w:shd w:val="clear" w:color="auto" w:fill="auto"/>
        </w:rPr>
        <w:t>（以下简称“本项目”），现已具备询价条件，由四川成乐高速公路有限责任公司运营管理分公司</w:t>
      </w:r>
      <w:r>
        <w:rPr>
          <w:rFonts w:hint="eastAsia" w:hAnsi="宋体"/>
          <w:color w:val="000000"/>
          <w:sz w:val="28"/>
          <w:szCs w:val="28"/>
          <w:shd w:val="clear" w:color="auto" w:fill="auto"/>
          <w:lang w:eastAsia="zh-CN"/>
        </w:rPr>
        <w:t>（</w:t>
      </w:r>
      <w:r>
        <w:rPr>
          <w:rFonts w:hint="eastAsia" w:hAnsi="宋体"/>
          <w:color w:val="000000"/>
          <w:sz w:val="28"/>
          <w:szCs w:val="28"/>
          <w:shd w:val="clear" w:color="auto" w:fill="auto"/>
          <w:lang w:val="en-US" w:eastAsia="zh-CN"/>
        </w:rPr>
        <w:t>以下简称成乐运营管理分公司</w:t>
      </w:r>
      <w:r>
        <w:rPr>
          <w:rFonts w:hint="eastAsia" w:hAnsi="宋体"/>
          <w:color w:val="000000"/>
          <w:sz w:val="28"/>
          <w:szCs w:val="28"/>
          <w:shd w:val="clear" w:color="auto" w:fill="auto"/>
          <w:lang w:eastAsia="zh-CN"/>
        </w:rPr>
        <w:t>）</w:t>
      </w:r>
      <w:r>
        <w:rPr>
          <w:rFonts w:hint="eastAsia" w:hAnsi="宋体"/>
          <w:color w:val="000000"/>
          <w:sz w:val="28"/>
          <w:szCs w:val="28"/>
          <w:shd w:val="clear" w:color="auto" w:fill="auto"/>
        </w:rPr>
        <w:t>作为询价人</w:t>
      </w:r>
      <w:r>
        <w:rPr>
          <w:rFonts w:hAnsi="宋体"/>
          <w:color w:val="000000"/>
          <w:sz w:val="28"/>
          <w:szCs w:val="28"/>
          <w:shd w:val="clear" w:color="auto" w:fill="auto"/>
        </w:rPr>
        <w:t>（以下简称“</w:t>
      </w:r>
      <w:r>
        <w:rPr>
          <w:rFonts w:hint="eastAsia" w:hAnsi="宋体"/>
          <w:color w:val="000000"/>
          <w:sz w:val="28"/>
          <w:szCs w:val="28"/>
          <w:shd w:val="clear" w:color="auto" w:fill="auto"/>
        </w:rPr>
        <w:t>询价人</w:t>
      </w:r>
      <w:r>
        <w:rPr>
          <w:rFonts w:hAnsi="宋体"/>
          <w:color w:val="000000"/>
          <w:sz w:val="28"/>
          <w:szCs w:val="28"/>
          <w:shd w:val="clear" w:color="auto" w:fill="auto"/>
        </w:rPr>
        <w:t>”），自行组织该项目</w:t>
      </w:r>
      <w:r>
        <w:rPr>
          <w:rFonts w:hint="eastAsia" w:hAnsi="宋体"/>
          <w:color w:val="000000"/>
          <w:sz w:val="28"/>
          <w:szCs w:val="28"/>
          <w:shd w:val="clear" w:color="auto" w:fill="auto"/>
        </w:rPr>
        <w:t>的询价</w:t>
      </w:r>
      <w:r>
        <w:rPr>
          <w:rFonts w:hAnsi="宋体"/>
          <w:color w:val="000000"/>
          <w:sz w:val="28"/>
          <w:szCs w:val="28"/>
          <w:shd w:val="clear" w:color="auto" w:fill="auto"/>
        </w:rPr>
        <w:t>。本项目实行公开询价，评标采用满足</w:t>
      </w:r>
      <w:r>
        <w:rPr>
          <w:rFonts w:hint="eastAsia" w:hAnsi="宋体"/>
          <w:color w:val="000000"/>
          <w:sz w:val="28"/>
          <w:szCs w:val="28"/>
          <w:shd w:val="clear" w:color="auto" w:fill="auto"/>
          <w:lang w:val="en-US" w:eastAsia="zh-CN"/>
        </w:rPr>
        <w:t>资质及</w:t>
      </w:r>
      <w:r>
        <w:rPr>
          <w:rFonts w:hAnsi="宋体"/>
          <w:color w:val="000000"/>
          <w:sz w:val="28"/>
          <w:szCs w:val="28"/>
          <w:shd w:val="clear" w:color="auto" w:fill="auto"/>
        </w:rPr>
        <w:t>技术指标、经评审</w:t>
      </w:r>
      <w:r>
        <w:rPr>
          <w:rFonts w:hint="eastAsia" w:hAnsi="宋体"/>
          <w:color w:val="000000"/>
          <w:sz w:val="28"/>
          <w:szCs w:val="28"/>
          <w:shd w:val="clear" w:color="auto" w:fill="auto"/>
          <w:lang w:val="en-US" w:eastAsia="zh-CN"/>
        </w:rPr>
        <w:t>的</w:t>
      </w:r>
      <w:r>
        <w:rPr>
          <w:rFonts w:hint="eastAsia" w:hAnsi="宋体"/>
          <w:color w:val="000000"/>
          <w:sz w:val="28"/>
          <w:szCs w:val="28"/>
          <w:lang w:val="en-US" w:eastAsia="zh-CN"/>
        </w:rPr>
        <w:t>LED屏体每平方米综合单价（报价总价</w:t>
      </w:r>
      <w:r>
        <w:rPr>
          <w:rFonts w:hint="default" w:ascii="Arial" w:hAnsi="Arial" w:cs="Arial"/>
          <w:color w:val="000000"/>
          <w:sz w:val="28"/>
          <w:szCs w:val="28"/>
          <w:lang w:val="en-US" w:eastAsia="zh-CN"/>
        </w:rPr>
        <w:t>÷</w:t>
      </w:r>
      <w:r>
        <w:rPr>
          <w:rFonts w:hint="eastAsia" w:ascii="Arial" w:hAnsi="Arial" w:cs="Arial"/>
          <w:color w:val="000000"/>
          <w:sz w:val="28"/>
          <w:szCs w:val="28"/>
          <w:lang w:val="en-US" w:eastAsia="zh-CN"/>
        </w:rPr>
        <w:t>屏体面积</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屏体</w:t>
      </w:r>
      <w:r>
        <w:rPr>
          <w:rFonts w:hint="eastAsia" w:hAnsi="宋体"/>
          <w:color w:val="000000"/>
          <w:sz w:val="28"/>
          <w:szCs w:val="28"/>
          <w:lang w:val="en-US" w:eastAsia="zh-CN"/>
        </w:rPr>
        <w:t>每平方米综合</w:t>
      </w:r>
      <w:r>
        <w:rPr>
          <w:rFonts w:hint="eastAsia" w:ascii="宋体" w:hAnsi="宋体" w:cs="宋体"/>
          <w:color w:val="000000"/>
          <w:sz w:val="28"/>
          <w:szCs w:val="28"/>
          <w:lang w:val="en-US" w:eastAsia="zh-CN"/>
        </w:rPr>
        <w:t>单价</w:t>
      </w:r>
      <w:r>
        <w:rPr>
          <w:rFonts w:hint="eastAsia" w:hAnsi="宋体"/>
          <w:color w:val="000000"/>
          <w:sz w:val="28"/>
          <w:szCs w:val="28"/>
          <w:lang w:val="en-US" w:eastAsia="zh-CN"/>
        </w:rPr>
        <w:t>）</w:t>
      </w:r>
      <w:r>
        <w:rPr>
          <w:rFonts w:hint="eastAsia" w:ascii="宋体" w:hAnsi="宋体"/>
          <w:color w:val="000000"/>
          <w:sz w:val="28"/>
          <w:szCs w:val="28"/>
          <w:lang w:val="en-US" w:eastAsia="zh-CN"/>
        </w:rPr>
        <w:t>最低确定其承包人</w:t>
      </w:r>
      <w:r>
        <w:rPr>
          <w:rFonts w:hAnsi="宋体"/>
          <w:color w:val="000000"/>
          <w:sz w:val="28"/>
          <w:szCs w:val="28"/>
          <w:shd w:val="clear" w:color="auto" w:fill="auto"/>
        </w:rPr>
        <w:t>，</w:t>
      </w:r>
      <w:r>
        <w:rPr>
          <w:rFonts w:hAnsi="宋体"/>
          <w:color w:val="000000"/>
          <w:sz w:val="28"/>
          <w:szCs w:val="28"/>
        </w:rPr>
        <w:t>现公告如下：</w:t>
      </w:r>
    </w:p>
    <w:p>
      <w:pPr>
        <w:spacing w:line="520" w:lineRule="exact"/>
        <w:ind w:firstLine="560" w:firstLineChars="200"/>
        <w:rPr>
          <w:rFonts w:hint="eastAsia" w:ascii="宋体" w:hAnsi="宋体" w:cs="Courier New" w:eastAsiaTheme="minorEastAsia"/>
          <w:color w:val="000000"/>
          <w:sz w:val="28"/>
          <w:szCs w:val="28"/>
          <w:shd w:val="clear" w:color="auto" w:fill="auto"/>
          <w:lang w:val="en-US" w:eastAsia="zh-CN"/>
        </w:rPr>
      </w:pPr>
      <w:r>
        <w:rPr>
          <w:rFonts w:hint="eastAsia" w:ascii="宋体" w:hAnsi="宋体" w:cs="Courier New"/>
          <w:color w:val="000000"/>
          <w:sz w:val="28"/>
          <w:szCs w:val="28"/>
          <w:shd w:val="clear" w:color="auto" w:fill="auto"/>
        </w:rPr>
        <w:t>一、项目名称：2018年四川成乐高速公路有限责任公司运营管理分公司</w:t>
      </w:r>
      <w:r>
        <w:rPr>
          <w:rFonts w:hint="eastAsia" w:ascii="宋体" w:hAnsi="宋体" w:cs="Courier New"/>
          <w:color w:val="000000"/>
          <w:sz w:val="28"/>
          <w:szCs w:val="28"/>
          <w:shd w:val="clear" w:color="auto" w:fill="auto"/>
          <w:lang w:val="en-US" w:eastAsia="zh-CN"/>
        </w:rPr>
        <w:t>室内</w:t>
      </w:r>
      <w:r>
        <w:rPr>
          <w:rFonts w:hint="eastAsia" w:ascii="宋体" w:hAnsi="宋体" w:cs="Courier New"/>
          <w:color w:val="000000"/>
          <w:sz w:val="28"/>
          <w:szCs w:val="28"/>
          <w:shd w:val="clear" w:color="auto" w:fill="auto"/>
        </w:rPr>
        <w:t>LED显示屏</w:t>
      </w:r>
      <w:r>
        <w:rPr>
          <w:rFonts w:hint="eastAsia" w:ascii="宋体" w:hAnsi="宋体" w:cs="Courier New"/>
          <w:color w:val="000000"/>
          <w:sz w:val="28"/>
          <w:szCs w:val="28"/>
          <w:shd w:val="clear" w:color="auto" w:fill="auto"/>
          <w:lang w:val="en-US" w:eastAsia="zh-CN"/>
        </w:rPr>
        <w:t>设备</w:t>
      </w:r>
      <w:r>
        <w:rPr>
          <w:rFonts w:hint="eastAsia" w:ascii="宋体" w:hAnsi="宋体" w:cs="Courier New"/>
          <w:color w:val="000000"/>
          <w:sz w:val="28"/>
          <w:szCs w:val="28"/>
          <w:shd w:val="clear" w:color="auto" w:fill="auto"/>
        </w:rPr>
        <w:t>安装</w:t>
      </w:r>
      <w:r>
        <w:rPr>
          <w:rFonts w:hint="eastAsia" w:ascii="宋体" w:hAnsi="宋体" w:cs="Courier New"/>
          <w:color w:val="000000"/>
          <w:sz w:val="28"/>
          <w:szCs w:val="28"/>
          <w:shd w:val="clear" w:color="auto" w:fill="auto"/>
          <w:lang w:val="en-US" w:eastAsia="zh-CN"/>
        </w:rPr>
        <w:t>工程</w:t>
      </w:r>
    </w:p>
    <w:p>
      <w:pPr>
        <w:spacing w:line="520" w:lineRule="exact"/>
        <w:ind w:firstLine="480"/>
        <w:rPr>
          <w:rFonts w:hint="eastAsia" w:ascii="宋体" w:hAnsi="宋体" w:cs="Courier New"/>
          <w:color w:val="000000"/>
          <w:sz w:val="28"/>
          <w:szCs w:val="28"/>
          <w:shd w:val="clear" w:color="auto" w:fill="auto"/>
        </w:rPr>
      </w:pPr>
      <w:r>
        <w:rPr>
          <w:rFonts w:hint="eastAsia" w:ascii="宋体" w:hAnsi="宋体" w:cs="Courier New"/>
          <w:color w:val="000000"/>
          <w:sz w:val="28"/>
          <w:szCs w:val="28"/>
          <w:shd w:val="clear" w:color="auto" w:fill="auto"/>
        </w:rPr>
        <w:t>二、询价人：四川成乐高速公路有限责任公司运营管理分公司</w:t>
      </w:r>
    </w:p>
    <w:p>
      <w:pPr>
        <w:pStyle w:val="3"/>
        <w:spacing w:line="520" w:lineRule="exact"/>
        <w:ind w:firstLine="560" w:firstLineChars="200"/>
        <w:rPr>
          <w:rFonts w:hint="eastAsia" w:hAnsi="宋体"/>
          <w:color w:val="000000"/>
          <w:sz w:val="28"/>
          <w:szCs w:val="28"/>
          <w:shd w:val="clear" w:color="auto" w:fill="auto"/>
        </w:rPr>
      </w:pPr>
      <w:r>
        <w:rPr>
          <w:rFonts w:hint="eastAsia" w:hAnsi="宋体"/>
          <w:color w:val="000000"/>
          <w:sz w:val="28"/>
          <w:szCs w:val="28"/>
          <w:shd w:val="clear" w:color="auto" w:fill="auto"/>
        </w:rPr>
        <w:t>三、项目概况：</w:t>
      </w:r>
    </w:p>
    <w:p>
      <w:pPr>
        <w:pStyle w:val="3"/>
        <w:spacing w:line="520" w:lineRule="exact"/>
        <w:ind w:firstLine="560" w:firstLineChars="200"/>
        <w:rPr>
          <w:rFonts w:hint="eastAsia" w:hAnsi="宋体"/>
          <w:color w:val="auto"/>
          <w:sz w:val="28"/>
          <w:szCs w:val="28"/>
          <w:shd w:val="clear" w:color="auto" w:fill="auto"/>
        </w:rPr>
      </w:pPr>
      <w:r>
        <w:rPr>
          <w:rFonts w:hint="eastAsia" w:hAnsi="宋体"/>
          <w:color w:val="auto"/>
          <w:sz w:val="28"/>
          <w:szCs w:val="28"/>
          <w:shd w:val="clear" w:color="auto" w:fill="auto"/>
          <w:lang w:val="en-US" w:eastAsia="zh-CN"/>
        </w:rPr>
        <w:t>1、</w:t>
      </w:r>
      <w:r>
        <w:rPr>
          <w:rFonts w:hint="default" w:ascii="Arial" w:hAnsi="Arial" w:cs="Arial"/>
          <w:b w:val="0"/>
          <w:i w:val="0"/>
          <w:caps w:val="0"/>
          <w:color w:val="auto"/>
          <w:spacing w:val="0"/>
          <w:sz w:val="28"/>
          <w:szCs w:val="28"/>
          <w:shd w:val="clear" w:color="auto" w:fill="auto"/>
        </w:rPr>
        <w:t>四川成乐高速公路有限责任公司运营管理分公司</w:t>
      </w:r>
      <w:bookmarkStart w:id="0" w:name="_GoBack"/>
      <w:r>
        <w:rPr>
          <w:rFonts w:hint="eastAsia" w:ascii="Arial" w:hAnsi="Arial" w:cs="Arial"/>
          <w:b w:val="0"/>
          <w:i w:val="0"/>
          <w:caps w:val="0"/>
          <w:color w:val="auto"/>
          <w:spacing w:val="0"/>
          <w:sz w:val="28"/>
          <w:szCs w:val="28"/>
          <w:shd w:val="clear" w:color="auto" w:fill="auto"/>
          <w:lang w:val="en-US" w:eastAsia="zh-CN"/>
        </w:rPr>
        <w:t>会议室</w:t>
      </w:r>
      <w:bookmarkEnd w:id="0"/>
      <w:r>
        <w:rPr>
          <w:rFonts w:hint="eastAsia" w:ascii="Arial" w:hAnsi="Arial" w:cs="Arial"/>
          <w:b w:val="0"/>
          <w:i w:val="0"/>
          <w:caps w:val="0"/>
          <w:color w:val="auto"/>
          <w:spacing w:val="0"/>
          <w:sz w:val="28"/>
          <w:szCs w:val="28"/>
          <w:shd w:val="clear" w:color="auto" w:fill="auto"/>
          <w:lang w:val="en-US" w:eastAsia="zh-CN"/>
        </w:rPr>
        <w:t>（暨职工活动室），需建设一套全彩LED室内显示屏系统</w:t>
      </w:r>
      <w:r>
        <w:rPr>
          <w:rFonts w:hint="default" w:ascii="Arial" w:hAnsi="Arial" w:cs="Arial"/>
          <w:b w:val="0"/>
          <w:i w:val="0"/>
          <w:caps w:val="0"/>
          <w:strike w:val="0"/>
          <w:dstrike w:val="0"/>
          <w:color w:val="auto"/>
          <w:spacing w:val="0"/>
          <w:sz w:val="28"/>
          <w:szCs w:val="28"/>
          <w:shd w:val="clear" w:color="auto" w:fill="auto"/>
        </w:rPr>
        <w:t>，可实现文字发布、全彩视频播放等功能</w:t>
      </w:r>
      <w:r>
        <w:rPr>
          <w:rFonts w:hint="eastAsia" w:hAnsi="宋体"/>
          <w:color w:val="auto"/>
          <w:sz w:val="28"/>
          <w:szCs w:val="28"/>
          <w:shd w:val="clear" w:color="auto" w:fill="auto"/>
        </w:rPr>
        <w:t>。</w:t>
      </w:r>
    </w:p>
    <w:p>
      <w:pPr>
        <w:pStyle w:val="3"/>
        <w:spacing w:line="520" w:lineRule="exact"/>
        <w:ind w:firstLine="560" w:firstLineChars="200"/>
        <w:rPr>
          <w:rFonts w:hint="eastAsia" w:hAnsi="宋体"/>
          <w:color w:val="auto"/>
          <w:sz w:val="28"/>
          <w:szCs w:val="28"/>
          <w:shd w:val="clear" w:color="auto" w:fill="auto"/>
        </w:rPr>
      </w:pPr>
      <w:r>
        <w:rPr>
          <w:rFonts w:ascii="Arial" w:hAnsi="Arial" w:eastAsia="宋体" w:cs="Arial"/>
          <w:b w:val="0"/>
          <w:i w:val="0"/>
          <w:caps w:val="0"/>
          <w:color w:val="auto"/>
          <w:spacing w:val="0"/>
          <w:sz w:val="28"/>
          <w:szCs w:val="28"/>
          <w:shd w:val="clear" w:color="auto" w:fill="auto"/>
        </w:rPr>
        <w:t>2、比选招标范围：针对本次比选招标的全部工程，均包括相关材料和设备的采购、运输、安装、验收以及竣工文件编制和缺陷责任期的服务。设一个标段独立进行比选招标，预计工期为</w:t>
      </w:r>
      <w:r>
        <w:rPr>
          <w:rFonts w:hint="eastAsia" w:ascii="Arial" w:hAnsi="Arial" w:eastAsia="宋体" w:cs="Arial"/>
          <w:b w:val="0"/>
          <w:i w:val="0"/>
          <w:caps w:val="0"/>
          <w:color w:val="auto"/>
          <w:spacing w:val="0"/>
          <w:sz w:val="28"/>
          <w:szCs w:val="28"/>
          <w:shd w:val="clear" w:color="auto" w:fill="auto"/>
          <w:lang w:val="en-US" w:eastAsia="zh-CN"/>
        </w:rPr>
        <w:t>2</w:t>
      </w:r>
      <w:r>
        <w:rPr>
          <w:rFonts w:ascii="Arial" w:hAnsi="Arial" w:eastAsia="宋体" w:cs="Arial"/>
          <w:b w:val="0"/>
          <w:i w:val="0"/>
          <w:caps w:val="0"/>
          <w:color w:val="auto"/>
          <w:spacing w:val="0"/>
          <w:sz w:val="28"/>
          <w:szCs w:val="28"/>
          <w:shd w:val="clear" w:color="auto" w:fill="auto"/>
        </w:rPr>
        <w:t>0天（含设备到位时间），缺陷责任期为12个月。</w:t>
      </w:r>
    </w:p>
    <w:p>
      <w:pPr>
        <w:pStyle w:val="3"/>
        <w:spacing w:line="520" w:lineRule="exact"/>
        <w:ind w:firstLine="562" w:firstLineChars="200"/>
        <w:rPr>
          <w:rFonts w:hint="eastAsia" w:hAnsi="宋体"/>
          <w:b/>
          <w:bCs/>
          <w:color w:val="000000" w:themeColor="text1"/>
          <w:sz w:val="28"/>
          <w:szCs w:val="28"/>
          <w:shd w:val="clear" w:color="auto" w:fill="auto"/>
          <w14:textFill>
            <w14:solidFill>
              <w14:schemeClr w14:val="tx1"/>
            </w14:solidFill>
          </w14:textFill>
        </w:rPr>
      </w:pPr>
      <w:r>
        <w:rPr>
          <w:rFonts w:ascii="Arial" w:hAnsi="Arial" w:eastAsia="宋体" w:cs="Arial"/>
          <w:b/>
          <w:bCs/>
          <w:i w:val="0"/>
          <w:caps w:val="0"/>
          <w:color w:val="000000" w:themeColor="text1"/>
          <w:spacing w:val="0"/>
          <w:sz w:val="28"/>
          <w:szCs w:val="28"/>
          <w:shd w:val="clear" w:color="auto" w:fill="auto"/>
          <w14:textFill>
            <w14:solidFill>
              <w14:schemeClr w14:val="tx1"/>
            </w14:solidFill>
          </w14:textFill>
        </w:rPr>
        <w:t>3、本项目采用资格预审方式，最高限价为</w:t>
      </w:r>
      <w:r>
        <w:rPr>
          <w:rFonts w:hint="eastAsia" w:ascii="Arial" w:hAnsi="Arial" w:eastAsia="宋体" w:cs="Arial"/>
          <w:b/>
          <w:bCs/>
          <w:i w:val="0"/>
          <w:caps w:val="0"/>
          <w:color w:val="000000" w:themeColor="text1"/>
          <w:spacing w:val="0"/>
          <w:sz w:val="28"/>
          <w:szCs w:val="28"/>
          <w:shd w:val="clear" w:color="auto" w:fill="auto"/>
          <w:lang w:val="en-US" w:eastAsia="zh-CN"/>
          <w14:textFill>
            <w14:solidFill>
              <w14:schemeClr w14:val="tx1"/>
            </w14:solidFill>
          </w14:textFill>
        </w:rPr>
        <w:t>18</w:t>
      </w:r>
      <w:r>
        <w:rPr>
          <w:rFonts w:ascii="Arial" w:hAnsi="Arial" w:eastAsia="宋体" w:cs="Arial"/>
          <w:b/>
          <w:bCs/>
          <w:i w:val="0"/>
          <w:caps w:val="0"/>
          <w:color w:val="000000" w:themeColor="text1"/>
          <w:spacing w:val="0"/>
          <w:sz w:val="28"/>
          <w:szCs w:val="28"/>
          <w:shd w:val="clear" w:color="auto" w:fill="auto"/>
          <w14:textFill>
            <w14:solidFill>
              <w14:schemeClr w14:val="tx1"/>
            </w14:solidFill>
          </w14:textFill>
        </w:rPr>
        <w:t>万元。</w:t>
      </w:r>
    </w:p>
    <w:p>
      <w:pPr>
        <w:pStyle w:val="3"/>
        <w:spacing w:line="520" w:lineRule="exact"/>
        <w:ind w:firstLine="560" w:firstLineChars="200"/>
        <w:rPr>
          <w:rFonts w:hint="eastAsia" w:hAnsi="宋体"/>
          <w:color w:val="000000"/>
          <w:sz w:val="28"/>
          <w:szCs w:val="28"/>
          <w:shd w:val="clear" w:color="auto" w:fill="auto"/>
        </w:rPr>
      </w:pPr>
      <w:r>
        <w:rPr>
          <w:rFonts w:hint="eastAsia" w:hAnsi="宋体"/>
          <w:color w:val="000000"/>
          <w:sz w:val="28"/>
          <w:szCs w:val="28"/>
          <w:shd w:val="clear" w:color="auto" w:fill="auto"/>
        </w:rPr>
        <w:t>四、参与报价条件：</w:t>
      </w:r>
    </w:p>
    <w:p>
      <w:pPr>
        <w:pStyle w:val="3"/>
        <w:spacing w:line="520" w:lineRule="exact"/>
        <w:ind w:firstLine="560" w:firstLineChars="200"/>
        <w:rPr>
          <w:rFonts w:hint="eastAsia" w:hAnsi="宋体"/>
          <w:color w:val="000000"/>
          <w:sz w:val="28"/>
          <w:szCs w:val="28"/>
          <w:shd w:val="clear" w:color="auto" w:fill="auto"/>
        </w:rPr>
      </w:pPr>
      <w:r>
        <w:rPr>
          <w:rFonts w:hint="eastAsia" w:hAnsi="宋体"/>
          <w:color w:val="000000"/>
          <w:sz w:val="28"/>
          <w:szCs w:val="28"/>
          <w:shd w:val="clear" w:color="auto" w:fill="auto"/>
        </w:rPr>
        <w:t>1、须持有有效证件营业执照、税务登记证、组织机构代码证（如已办理三证合一</w:t>
      </w:r>
      <w:r>
        <w:rPr>
          <w:rFonts w:hint="eastAsia" w:hAnsi="宋体"/>
          <w:color w:val="000000"/>
          <w:sz w:val="28"/>
          <w:szCs w:val="28"/>
          <w:shd w:val="clear" w:color="auto" w:fill="auto"/>
          <w:lang w:val="en-US" w:eastAsia="zh-CN"/>
        </w:rPr>
        <w:t>或五证合一</w:t>
      </w:r>
      <w:r>
        <w:rPr>
          <w:rFonts w:hint="eastAsia" w:hAnsi="宋体"/>
          <w:color w:val="000000"/>
          <w:sz w:val="28"/>
          <w:szCs w:val="28"/>
          <w:shd w:val="clear" w:color="auto" w:fill="auto"/>
        </w:rPr>
        <w:t>，则只需提</w:t>
      </w:r>
      <w:r>
        <w:rPr>
          <w:rFonts w:hint="eastAsia" w:hAnsi="宋体"/>
          <w:color w:val="000000"/>
          <w:sz w:val="28"/>
          <w:szCs w:val="28"/>
          <w:shd w:val="clear" w:color="auto" w:fill="auto"/>
          <w:lang w:val="en-US" w:eastAsia="zh-CN"/>
        </w:rPr>
        <w:t>供</w:t>
      </w:r>
      <w:r>
        <w:rPr>
          <w:rFonts w:hint="eastAsia" w:hAnsi="宋体"/>
          <w:color w:val="000000"/>
          <w:sz w:val="28"/>
          <w:szCs w:val="28"/>
          <w:shd w:val="clear" w:color="auto" w:fill="auto"/>
        </w:rPr>
        <w:t>营业执照副本复印件加盖公章）</w:t>
      </w:r>
      <w:r>
        <w:rPr>
          <w:rFonts w:hint="eastAsia" w:hAnsi="宋体"/>
          <w:color w:val="000000"/>
          <w:sz w:val="28"/>
          <w:szCs w:val="28"/>
          <w:shd w:val="clear" w:color="auto" w:fill="auto"/>
          <w:lang w:val="en-US" w:eastAsia="zh-CN"/>
        </w:rPr>
        <w:t>基本账户开户许可证</w:t>
      </w:r>
      <w:r>
        <w:rPr>
          <w:rFonts w:hint="eastAsia" w:hAnsi="宋体"/>
          <w:color w:val="000000"/>
          <w:sz w:val="28"/>
          <w:szCs w:val="28"/>
          <w:shd w:val="clear" w:color="auto" w:fill="auto"/>
        </w:rPr>
        <w:t>；</w:t>
      </w:r>
    </w:p>
    <w:p>
      <w:pPr>
        <w:pStyle w:val="3"/>
        <w:spacing w:line="520" w:lineRule="exact"/>
        <w:ind w:firstLine="560" w:firstLineChars="200"/>
        <w:rPr>
          <w:rFonts w:hint="eastAsia" w:hAnsi="宋体"/>
          <w:color w:val="000000"/>
          <w:sz w:val="28"/>
          <w:szCs w:val="28"/>
          <w:shd w:val="clear" w:color="auto" w:fill="auto"/>
        </w:rPr>
      </w:pPr>
      <w:r>
        <w:rPr>
          <w:rFonts w:hint="eastAsia" w:hAnsi="宋体"/>
          <w:color w:val="000000"/>
          <w:sz w:val="28"/>
          <w:szCs w:val="28"/>
          <w:shd w:val="clear" w:color="auto" w:fill="auto"/>
        </w:rPr>
        <w:t>2、营业执照经营范围内含有</w:t>
      </w:r>
      <w:r>
        <w:rPr>
          <w:rFonts w:hint="eastAsia" w:hAnsi="宋体"/>
          <w:color w:val="000000"/>
          <w:sz w:val="28"/>
          <w:szCs w:val="28"/>
          <w:shd w:val="clear" w:color="auto" w:fill="auto"/>
          <w:lang w:val="en-US" w:eastAsia="zh-CN"/>
        </w:rPr>
        <w:t>LED产品及显示屏</w:t>
      </w:r>
      <w:r>
        <w:rPr>
          <w:rFonts w:hint="eastAsia" w:hAnsi="宋体"/>
          <w:color w:val="000000"/>
          <w:sz w:val="28"/>
          <w:szCs w:val="28"/>
          <w:shd w:val="clear" w:color="auto" w:fill="auto"/>
        </w:rPr>
        <w:t>销售、安装</w:t>
      </w:r>
      <w:r>
        <w:rPr>
          <w:rFonts w:hint="eastAsia" w:hAnsi="宋体"/>
          <w:color w:val="000000"/>
          <w:sz w:val="28"/>
          <w:szCs w:val="28"/>
          <w:shd w:val="clear" w:color="auto" w:fill="auto"/>
          <w:lang w:eastAsia="zh-CN"/>
        </w:rPr>
        <w:t>；</w:t>
      </w:r>
      <w:r>
        <w:rPr>
          <w:rFonts w:hint="default" w:ascii="Arial" w:hAnsi="Arial" w:cs="Arial"/>
          <w:b w:val="0"/>
          <w:bCs w:val="0"/>
          <w:i w:val="0"/>
          <w:caps w:val="0"/>
          <w:color w:val="auto"/>
          <w:spacing w:val="0"/>
          <w:sz w:val="28"/>
          <w:szCs w:val="28"/>
          <w:shd w:val="clear" w:color="auto" w:fill="auto"/>
        </w:rPr>
        <w:t>具有</w:t>
      </w:r>
      <w:r>
        <w:rPr>
          <w:rFonts w:hint="eastAsia" w:ascii="Arial" w:hAnsi="Arial" w:cs="Arial"/>
          <w:b w:val="0"/>
          <w:bCs w:val="0"/>
          <w:i w:val="0"/>
          <w:caps w:val="0"/>
          <w:color w:val="auto"/>
          <w:spacing w:val="0"/>
          <w:sz w:val="28"/>
          <w:szCs w:val="28"/>
          <w:shd w:val="clear" w:color="auto" w:fill="auto"/>
          <w:lang w:val="en-US" w:eastAsia="zh-CN"/>
        </w:rPr>
        <w:t>信息系统集成及智能建筑弱电施工</w:t>
      </w:r>
      <w:r>
        <w:rPr>
          <w:rFonts w:hint="default" w:ascii="Arial" w:hAnsi="Arial" w:cs="Arial"/>
          <w:b w:val="0"/>
          <w:bCs w:val="0"/>
          <w:i w:val="0"/>
          <w:caps w:val="0"/>
          <w:color w:val="auto"/>
          <w:spacing w:val="0"/>
          <w:sz w:val="28"/>
          <w:szCs w:val="28"/>
          <w:shd w:val="clear" w:color="auto" w:fill="auto"/>
        </w:rPr>
        <w:t>资格</w:t>
      </w:r>
      <w:r>
        <w:rPr>
          <w:rFonts w:hint="eastAsia" w:ascii="Arial" w:hAnsi="Arial" w:cs="Arial"/>
          <w:b w:val="0"/>
          <w:bCs w:val="0"/>
          <w:i w:val="0"/>
          <w:caps w:val="0"/>
          <w:color w:val="auto"/>
          <w:spacing w:val="0"/>
          <w:sz w:val="28"/>
          <w:szCs w:val="28"/>
          <w:shd w:val="clear" w:color="auto" w:fill="auto"/>
          <w:lang w:val="en-US" w:eastAsia="zh-CN"/>
        </w:rPr>
        <w:t>证明</w:t>
      </w:r>
      <w:r>
        <w:rPr>
          <w:rFonts w:hint="eastAsia" w:hAnsi="宋体"/>
          <w:color w:val="000000"/>
          <w:sz w:val="28"/>
          <w:szCs w:val="28"/>
          <w:shd w:val="clear" w:color="auto" w:fill="auto"/>
        </w:rPr>
        <w:t>等在内；</w:t>
      </w:r>
    </w:p>
    <w:p>
      <w:pPr>
        <w:pStyle w:val="3"/>
        <w:spacing w:line="520" w:lineRule="exact"/>
        <w:ind w:firstLine="560" w:firstLineChars="200"/>
        <w:rPr>
          <w:rFonts w:hint="eastAsia" w:hAnsi="宋体"/>
          <w:color w:val="000000"/>
          <w:sz w:val="28"/>
          <w:szCs w:val="28"/>
          <w:shd w:val="clear" w:color="auto" w:fill="auto"/>
        </w:rPr>
      </w:pPr>
      <w:r>
        <w:rPr>
          <w:rFonts w:hint="eastAsia" w:hAnsi="宋体"/>
          <w:color w:val="000000"/>
          <w:sz w:val="28"/>
          <w:szCs w:val="28"/>
          <w:shd w:val="clear" w:color="auto" w:fill="auto"/>
        </w:rPr>
        <w:t>3、近二年来（从201</w:t>
      </w:r>
      <w:r>
        <w:rPr>
          <w:rFonts w:hint="eastAsia" w:hAnsi="宋体"/>
          <w:color w:val="000000"/>
          <w:sz w:val="28"/>
          <w:szCs w:val="28"/>
          <w:shd w:val="clear" w:color="auto" w:fill="auto"/>
          <w:lang w:val="en-US" w:eastAsia="zh-CN"/>
        </w:rPr>
        <w:t>7</w:t>
      </w:r>
      <w:r>
        <w:rPr>
          <w:rFonts w:hint="eastAsia" w:hAnsi="宋体"/>
          <w:color w:val="000000"/>
          <w:sz w:val="28"/>
          <w:szCs w:val="28"/>
          <w:shd w:val="clear" w:color="auto" w:fill="auto"/>
        </w:rPr>
        <w:t>年1月至今）已完成验收的类似安装LED业绩</w:t>
      </w:r>
      <w:r>
        <w:rPr>
          <w:rFonts w:hint="eastAsia" w:hAnsi="宋体"/>
          <w:color w:val="000000"/>
          <w:sz w:val="28"/>
          <w:szCs w:val="28"/>
          <w:shd w:val="clear" w:color="auto" w:fill="auto"/>
          <w:lang w:val="en-US" w:eastAsia="zh-CN"/>
        </w:rPr>
        <w:t>2</w:t>
      </w:r>
      <w:r>
        <w:rPr>
          <w:rFonts w:hint="eastAsia" w:hAnsi="宋体"/>
          <w:color w:val="000000"/>
          <w:sz w:val="28"/>
          <w:szCs w:val="28"/>
          <w:shd w:val="clear" w:color="auto" w:fill="auto"/>
        </w:rPr>
        <w:t>个及以上，需附合同文件及验收证书复印件（加盖鲜章）；</w:t>
      </w:r>
    </w:p>
    <w:p>
      <w:pPr>
        <w:pStyle w:val="3"/>
        <w:spacing w:line="520" w:lineRule="exact"/>
        <w:ind w:firstLine="560" w:firstLineChars="200"/>
        <w:rPr>
          <w:rFonts w:hint="eastAsia" w:hAnsi="宋体" w:eastAsiaTheme="minorEastAsia"/>
          <w:color w:val="auto"/>
          <w:sz w:val="28"/>
          <w:szCs w:val="28"/>
          <w:shd w:val="clear" w:color="auto" w:fill="auto"/>
          <w:lang w:val="en-US" w:eastAsia="zh-CN"/>
        </w:rPr>
      </w:pPr>
      <w:r>
        <w:rPr>
          <w:rFonts w:hint="eastAsia" w:hAnsi="宋体"/>
          <w:color w:val="auto"/>
          <w:sz w:val="28"/>
          <w:szCs w:val="28"/>
          <w:shd w:val="clear" w:color="auto" w:fill="auto"/>
          <w:lang w:val="en-US" w:eastAsia="zh-CN"/>
        </w:rPr>
        <w:t>4、</w:t>
      </w:r>
      <w:r>
        <w:rPr>
          <w:rFonts w:hint="default" w:ascii="Arial" w:hAnsi="Arial" w:cs="Arial"/>
          <w:b w:val="0"/>
          <w:i w:val="0"/>
          <w:caps w:val="0"/>
          <w:color w:val="auto"/>
          <w:spacing w:val="0"/>
          <w:sz w:val="28"/>
          <w:szCs w:val="28"/>
          <w:shd w:val="clear" w:color="auto" w:fill="auto"/>
        </w:rPr>
        <w:t>注册资金≥</w:t>
      </w:r>
      <w:r>
        <w:rPr>
          <w:rFonts w:hint="eastAsia" w:ascii="Arial" w:hAnsi="Arial" w:cs="Arial"/>
          <w:b w:val="0"/>
          <w:i w:val="0"/>
          <w:caps w:val="0"/>
          <w:color w:val="auto"/>
          <w:spacing w:val="0"/>
          <w:sz w:val="28"/>
          <w:szCs w:val="28"/>
          <w:shd w:val="clear" w:color="auto" w:fill="auto"/>
          <w:lang w:val="en-US" w:eastAsia="zh-CN"/>
        </w:rPr>
        <w:t>1</w:t>
      </w:r>
      <w:r>
        <w:rPr>
          <w:rFonts w:hint="default" w:ascii="Arial" w:hAnsi="Arial" w:cs="Arial"/>
          <w:b w:val="0"/>
          <w:i w:val="0"/>
          <w:caps w:val="0"/>
          <w:color w:val="auto"/>
          <w:spacing w:val="0"/>
          <w:sz w:val="28"/>
          <w:szCs w:val="28"/>
          <w:shd w:val="clear" w:color="auto" w:fill="auto"/>
        </w:rPr>
        <w:t>00万元</w:t>
      </w:r>
      <w:r>
        <w:rPr>
          <w:rFonts w:hint="eastAsia" w:ascii="Arial" w:hAnsi="Arial" w:cs="Arial"/>
          <w:b w:val="0"/>
          <w:i w:val="0"/>
          <w:caps w:val="0"/>
          <w:color w:val="auto"/>
          <w:spacing w:val="0"/>
          <w:sz w:val="28"/>
          <w:szCs w:val="28"/>
          <w:shd w:val="clear" w:color="auto" w:fill="auto"/>
          <w:lang w:eastAsia="zh-CN"/>
        </w:rPr>
        <w:t>。</w:t>
      </w:r>
    </w:p>
    <w:p>
      <w:pPr>
        <w:pStyle w:val="3"/>
        <w:spacing w:line="520" w:lineRule="exact"/>
        <w:ind w:firstLine="560" w:firstLineChars="200"/>
        <w:rPr>
          <w:rFonts w:hint="eastAsia" w:hAnsi="宋体"/>
          <w:b w:val="0"/>
          <w:bCs w:val="0"/>
          <w:color w:val="auto"/>
          <w:sz w:val="28"/>
          <w:szCs w:val="28"/>
          <w:u w:val="single"/>
          <w:shd w:val="clear" w:color="auto" w:fill="auto"/>
          <w:lang w:val="en-US" w:eastAsia="zh-CN"/>
        </w:rPr>
      </w:pPr>
      <w:r>
        <w:rPr>
          <w:rFonts w:hint="eastAsia" w:hAnsi="宋体"/>
          <w:b w:val="0"/>
          <w:bCs w:val="0"/>
          <w:color w:val="auto"/>
          <w:sz w:val="28"/>
          <w:szCs w:val="28"/>
          <w:u w:val="single"/>
          <w:shd w:val="clear" w:color="auto" w:fill="auto"/>
          <w:lang w:val="en-US" w:eastAsia="zh-CN"/>
        </w:rPr>
        <w:t>5</w:t>
      </w:r>
      <w:r>
        <w:rPr>
          <w:rFonts w:hint="eastAsia" w:hAnsi="宋体"/>
          <w:b w:val="0"/>
          <w:bCs w:val="0"/>
          <w:color w:val="auto"/>
          <w:sz w:val="28"/>
          <w:szCs w:val="28"/>
          <w:u w:val="single"/>
          <w:shd w:val="clear" w:color="auto" w:fill="auto"/>
        </w:rPr>
        <w:t>、所提供的产品须附上</w:t>
      </w:r>
      <w:r>
        <w:rPr>
          <w:rFonts w:hint="eastAsia" w:hAnsi="宋体"/>
          <w:b w:val="0"/>
          <w:bCs w:val="0"/>
          <w:color w:val="auto"/>
          <w:sz w:val="28"/>
          <w:szCs w:val="28"/>
          <w:u w:val="single"/>
          <w:shd w:val="clear" w:color="auto" w:fill="auto"/>
          <w:lang w:val="en-US" w:eastAsia="zh-CN"/>
        </w:rPr>
        <w:t>以下资质</w:t>
      </w:r>
      <w:r>
        <w:rPr>
          <w:rFonts w:hint="eastAsia" w:hAnsi="宋体"/>
          <w:b w:val="0"/>
          <w:bCs w:val="0"/>
          <w:color w:val="auto"/>
          <w:sz w:val="28"/>
          <w:szCs w:val="28"/>
          <w:u w:val="single"/>
          <w:shd w:val="clear" w:color="auto" w:fill="auto"/>
        </w:rPr>
        <w:t>证书</w:t>
      </w:r>
      <w:r>
        <w:rPr>
          <w:rFonts w:hint="eastAsia" w:hAnsi="宋体"/>
          <w:b w:val="0"/>
          <w:bCs w:val="0"/>
          <w:color w:val="auto"/>
          <w:sz w:val="28"/>
          <w:szCs w:val="28"/>
          <w:u w:val="single"/>
          <w:shd w:val="clear" w:color="auto" w:fill="auto"/>
          <w:lang w:eastAsia="zh-CN"/>
        </w:rPr>
        <w:t>：</w:t>
      </w:r>
      <w:r>
        <w:rPr>
          <w:rFonts w:hint="eastAsia" w:hAnsi="宋体"/>
          <w:b w:val="0"/>
          <w:bCs w:val="0"/>
          <w:color w:val="auto"/>
          <w:sz w:val="28"/>
          <w:szCs w:val="28"/>
          <w:u w:val="single"/>
          <w:shd w:val="clear" w:color="auto" w:fill="auto"/>
          <w:lang w:val="en-US" w:eastAsia="zh-CN"/>
        </w:rPr>
        <w:t>需要提供所选LED厂家授权书原件上，具有ISO9001质量体系管理证书、14001环境管理体系证书、高新技术企业证书、中国节能产品认证证书、18001职业健康安全管理体系证书、CB认证证书（</w:t>
      </w:r>
      <w:r>
        <w:rPr>
          <w:rFonts w:hint="eastAsia" w:hAnsi="宋体"/>
          <w:b w:val="0"/>
          <w:bCs w:val="0"/>
          <w:color w:val="auto"/>
          <w:sz w:val="28"/>
          <w:szCs w:val="28"/>
          <w:u w:val="double"/>
          <w:shd w:val="clear" w:color="auto" w:fill="auto"/>
          <w:lang w:val="en-US" w:eastAsia="zh-CN"/>
        </w:rPr>
        <w:t>以上资质加盖厂家鲜章、报名时提供原件查验</w:t>
      </w:r>
      <w:r>
        <w:rPr>
          <w:rFonts w:hint="eastAsia" w:hAnsi="宋体"/>
          <w:b w:val="0"/>
          <w:bCs w:val="0"/>
          <w:color w:val="auto"/>
          <w:sz w:val="28"/>
          <w:szCs w:val="28"/>
          <w:u w:val="single"/>
          <w:shd w:val="clear" w:color="auto" w:fill="auto"/>
          <w:lang w:val="en-US" w:eastAsia="zh-CN"/>
        </w:rPr>
        <w:t>）</w:t>
      </w:r>
    </w:p>
    <w:p>
      <w:pPr>
        <w:pStyle w:val="4"/>
        <w:keepNext w:val="0"/>
        <w:keepLines w:val="0"/>
        <w:widowControl/>
        <w:suppressLineNumbers w:val="0"/>
        <w:ind w:left="0" w:firstLine="420"/>
        <w:jc w:val="left"/>
        <w:rPr>
          <w:rFonts w:ascii="Arial" w:hAnsi="Arial" w:cs="Arial"/>
          <w:b w:val="0"/>
          <w:i w:val="0"/>
          <w:caps w:val="0"/>
          <w:color w:val="000000" w:themeColor="text1"/>
          <w:spacing w:val="0"/>
          <w:sz w:val="28"/>
          <w:szCs w:val="28"/>
          <w:shd w:val="clear" w:color="auto" w:fill="auto"/>
          <w14:textFill>
            <w14:solidFill>
              <w14:schemeClr w14:val="tx1"/>
            </w14:solidFill>
          </w14:textFill>
        </w:rPr>
      </w:pPr>
      <w:r>
        <w:rPr>
          <w:rFonts w:hint="default" w:ascii="Arial" w:hAnsi="Arial" w:cs="Arial"/>
          <w:b w:val="0"/>
          <w:i w:val="0"/>
          <w:caps w:val="0"/>
          <w:color w:val="000000" w:themeColor="text1"/>
          <w:spacing w:val="0"/>
          <w:sz w:val="28"/>
          <w:szCs w:val="28"/>
          <w:shd w:val="clear" w:color="auto" w:fill="auto"/>
          <w14:textFill>
            <w14:solidFill>
              <w14:schemeClr w14:val="tx1"/>
            </w14:solidFill>
          </w14:textFill>
        </w:rPr>
        <w:t>6、省外企业需在四川省建设厅取得了《四川省省外企业入川从事建筑活动备案证》，并须提供在常驻四川的售后服务机构或办事处的合法企业资料。</w:t>
      </w:r>
    </w:p>
    <w:p>
      <w:pPr>
        <w:pStyle w:val="4"/>
        <w:keepNext w:val="0"/>
        <w:keepLines w:val="0"/>
        <w:widowControl/>
        <w:suppressLineNumbers w:val="0"/>
        <w:ind w:left="0" w:firstLine="420"/>
        <w:jc w:val="left"/>
        <w:rPr>
          <w:rFonts w:hint="default" w:ascii="Arial" w:hAnsi="Arial" w:cs="Arial"/>
          <w:b w:val="0"/>
          <w:i w:val="0"/>
          <w:caps w:val="0"/>
          <w:color w:val="000000" w:themeColor="text1"/>
          <w:spacing w:val="0"/>
          <w:sz w:val="28"/>
          <w:szCs w:val="28"/>
          <w:shd w:val="clear" w:color="auto" w:fill="auto"/>
          <w14:textFill>
            <w14:solidFill>
              <w14:schemeClr w14:val="tx1"/>
            </w14:solidFill>
          </w14:textFill>
        </w:rPr>
      </w:pPr>
      <w:r>
        <w:rPr>
          <w:rFonts w:hint="default" w:ascii="Arial" w:hAnsi="Arial" w:cs="Arial"/>
          <w:b w:val="0"/>
          <w:i w:val="0"/>
          <w:caps w:val="0"/>
          <w:color w:val="000000" w:themeColor="text1"/>
          <w:spacing w:val="0"/>
          <w:sz w:val="28"/>
          <w:szCs w:val="28"/>
          <w:shd w:val="clear" w:color="auto" w:fill="auto"/>
          <w14:textFill>
            <w14:solidFill>
              <w14:schemeClr w14:val="tx1"/>
            </w14:solidFill>
          </w14:textFill>
        </w:rPr>
        <w:t>五、本项目不接受联合体参与报价，具有投资控股关系的关联企业，或具有直接管理和被管理关系的母子公司，或法定代表人为同一人的两个及两个以上法人，均不得同时参与本项目的报价，否则均按废标处理。</w:t>
      </w:r>
    </w:p>
    <w:p>
      <w:pPr>
        <w:rPr>
          <w:sz w:val="28"/>
          <w:szCs w:val="28"/>
        </w:rPr>
      </w:pPr>
    </w:p>
    <w:p>
      <w:pPr>
        <w:rPr>
          <w:sz w:val="28"/>
          <w:szCs w:val="28"/>
        </w:rPr>
      </w:pPr>
    </w:p>
    <w:p>
      <w:pPr>
        <w:rPr>
          <w:sz w:val="28"/>
          <w:szCs w:val="28"/>
        </w:rPr>
      </w:pPr>
    </w:p>
    <w:p>
      <w:pPr>
        <w:pStyle w:val="4"/>
        <w:keepNext w:val="0"/>
        <w:keepLines w:val="0"/>
        <w:widowControl/>
        <w:suppressLineNumbers w:val="0"/>
        <w:ind w:left="0" w:firstLine="420"/>
        <w:jc w:val="left"/>
        <w:rPr>
          <w:rFonts w:hint="default" w:ascii="Arial" w:hAnsi="Arial" w:cs="Arial"/>
          <w:b w:val="0"/>
          <w:i w:val="0"/>
          <w:caps w:val="0"/>
          <w:color w:val="666666"/>
          <w:spacing w:val="0"/>
          <w:sz w:val="21"/>
          <w:szCs w:val="21"/>
        </w:rPr>
      </w:pPr>
    </w:p>
    <w:p>
      <w:pPr>
        <w:ind w:firstLine="2249" w:firstLineChars="700"/>
        <w:rPr>
          <w:rFonts w:hint="eastAsia"/>
          <w:b/>
          <w:bCs/>
          <w:sz w:val="32"/>
          <w:szCs w:val="40"/>
          <w:lang w:val="en-US" w:eastAsia="zh-CN"/>
        </w:rPr>
      </w:pPr>
      <w:r>
        <w:rPr>
          <w:rFonts w:hint="eastAsia"/>
          <w:b/>
          <w:bCs/>
          <w:sz w:val="32"/>
          <w:szCs w:val="40"/>
          <w:lang w:val="en-US" w:eastAsia="zh-CN"/>
        </w:rPr>
        <w:t>第二章 技术指标参数及要求</w:t>
      </w:r>
    </w:p>
    <w:p>
      <w:pPr>
        <w:rPr>
          <w:rFonts w:hint="eastAsia"/>
          <w:sz w:val="28"/>
          <w:szCs w:val="36"/>
          <w:lang w:val="en-US" w:eastAsia="zh-CN"/>
        </w:rPr>
      </w:pPr>
      <w:r>
        <w:rPr>
          <w:rFonts w:hint="eastAsia"/>
          <w:sz w:val="28"/>
          <w:szCs w:val="36"/>
          <w:lang w:val="en-US" w:eastAsia="zh-CN"/>
        </w:rPr>
        <w:t>技术要求：</w:t>
      </w:r>
    </w:p>
    <w:tbl>
      <w:tblPr>
        <w:tblStyle w:val="6"/>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84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restart"/>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sz w:val="21"/>
                <w:vertAlign w:val="baseline"/>
                <w:lang w:val="en-US" w:eastAsia="zh-CN"/>
              </w:rPr>
            </w:pPr>
            <w:r>
              <w:rPr>
                <w:rFonts w:hint="eastAsia"/>
                <w:sz w:val="21"/>
                <w:vertAlign w:val="baseline"/>
                <w:lang w:val="en-US" w:eastAsia="zh-CN"/>
              </w:rPr>
              <w:t>模组</w:t>
            </w:r>
          </w:p>
          <w:p>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sz w:val="21"/>
                <w:vertAlign w:val="baseline"/>
                <w:lang w:val="en-US" w:eastAsia="zh-CN"/>
              </w:rPr>
            </w:pPr>
            <w:r>
              <w:rPr>
                <w:rFonts w:hint="eastAsia"/>
                <w:sz w:val="21"/>
                <w:vertAlign w:val="baseline"/>
                <w:lang w:val="en-US" w:eastAsia="zh-CN"/>
              </w:rPr>
              <w:t xml:space="preserve">Unit Module </w:t>
            </w: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项目           Item</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参数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产品型号       Model Number</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LDR-P2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模组尺寸       Module size</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256mm*128mm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物理点间距     Pixel pitch</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物理密度       Pixels Density</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default" w:ascii="Arial" w:hAnsi="Arial" w:cs="Arial"/>
                <w:sz w:val="21"/>
                <w:vertAlign w:val="baseline"/>
                <w:lang w:val="en-US" w:eastAsia="zh-CN"/>
              </w:rPr>
              <w:t>≥</w:t>
            </w:r>
            <w:r>
              <w:rPr>
                <w:rFonts w:hint="eastAsia"/>
                <w:sz w:val="21"/>
                <w:vertAlign w:val="baseline"/>
                <w:lang w:val="en-US" w:eastAsia="zh-CN"/>
              </w:rPr>
              <w:t>250000点/</w:t>
            </w:r>
            <w:r>
              <w:rPr>
                <w:rFonts w:hint="default" w:ascii="Arial" w:hAnsi="Arial" w:cs="Arial"/>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发光点颜色     Pixel configuration</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1R1G1B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 xml:space="preserve">LED封装   </w:t>
            </w:r>
            <w:r>
              <w:rPr>
                <w:rFonts w:hint="eastAsia"/>
                <w:sz w:val="18"/>
                <w:vertAlign w:val="baseline"/>
                <w:lang w:val="en-US" w:eastAsia="zh-CN"/>
              </w:rPr>
              <w:t xml:space="preserve">    </w:t>
            </w:r>
            <w:r>
              <w:rPr>
                <w:rFonts w:hint="eastAsia"/>
                <w:sz w:val="21"/>
                <w:vertAlign w:val="baseline"/>
                <w:lang w:val="en-US" w:eastAsia="zh-CN"/>
              </w:rPr>
              <w:t>Package mode</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SMD1010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模组分别率     Pixel resolution</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96dots(W)*48 dots(H)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模组最大功耗   Max Power</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≥18W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kinsoku/>
              <w:autoSpaceDE/>
              <w:autoSpaceDN w:val="0"/>
              <w:spacing w:before="53" w:beforeLines="0" w:after="53" w:afterLines="0" w:line="315" w:lineRule="atLeast"/>
              <w:rPr>
                <w:rFonts w:hint="eastAsia" w:eastAsia="宋体"/>
                <w:sz w:val="21"/>
                <w:vertAlign w:val="baseline"/>
                <w:lang w:val="en-US" w:eastAsia="zh-CN"/>
              </w:rPr>
            </w:pPr>
            <w:r>
              <w:rPr>
                <w:rFonts w:hint="eastAsia"/>
                <w:sz w:val="21"/>
                <w:vertAlign w:val="baseline"/>
                <w:lang w:val="en-US" w:eastAsia="zh-CN"/>
              </w:rPr>
              <w:t xml:space="preserve">模组厚度       </w:t>
            </w:r>
            <w:r>
              <w:rPr>
                <w:rFonts w:hint="default"/>
                <w:snapToGrid/>
                <w:sz w:val="21"/>
                <w:lang w:eastAsia="zh-CN"/>
              </w:rPr>
              <w:t>Module thickness</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 xml:space="preserve">≥26.55mm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模组重量       Weight</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≥0.155kg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驱动方式       Drive type</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恒流驱动Constant 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 xml:space="preserve">扫描方式       Scan mode </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1/24扫描 1/24scan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接口方式       Port type</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HUB75-A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p>
        </w:tc>
        <w:tc>
          <w:tcPr>
            <w:tcW w:w="384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白平衡亮度     Brightness of white balance</w:t>
            </w:r>
          </w:p>
        </w:tc>
        <w:tc>
          <w:tcPr>
            <w:tcW w:w="3570" w:type="dxa"/>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sz w:val="21"/>
                <w:vertAlign w:val="baseline"/>
                <w:lang w:val="en-US" w:eastAsia="zh-CN"/>
              </w:rPr>
            </w:pPr>
            <w:r>
              <w:rPr>
                <w:rFonts w:hint="eastAsia"/>
                <w:sz w:val="21"/>
                <w:vertAlign w:val="baseline"/>
                <w:lang w:val="en-US" w:eastAsia="zh-CN"/>
              </w:rPr>
              <w:t xml:space="preserve">≥1400cd/m2 </w:t>
            </w:r>
          </w:p>
        </w:tc>
      </w:tr>
    </w:tbl>
    <w:p/>
    <w:p>
      <w:pPr>
        <w:rPr>
          <w:rFonts w:hint="eastAsia"/>
          <w:lang w:val="en-US" w:eastAsia="zh-CN"/>
        </w:rPr>
      </w:pPr>
    </w:p>
    <w:p>
      <w:pPr>
        <w:numPr>
          <w:ilvl w:val="0"/>
          <w:numId w:val="0"/>
        </w:numPr>
        <w:ind w:firstLine="2811" w:firstLineChars="1000"/>
        <w:jc w:val="both"/>
        <w:rPr>
          <w:rFonts w:hint="eastAsia"/>
          <w:b/>
          <w:bCs/>
          <w:sz w:val="28"/>
          <w:szCs w:val="36"/>
          <w:lang w:val="en-US" w:eastAsia="zh-CN"/>
        </w:rPr>
      </w:pPr>
      <w:r>
        <w:rPr>
          <w:rFonts w:hint="eastAsia"/>
          <w:b/>
          <w:bCs/>
          <w:sz w:val="28"/>
          <w:szCs w:val="36"/>
          <w:lang w:val="en-US" w:eastAsia="zh-CN"/>
        </w:rPr>
        <w:t>第三章   报价清单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505"/>
        <w:gridCol w:w="974"/>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序号</w:t>
            </w:r>
          </w:p>
        </w:tc>
        <w:tc>
          <w:tcPr>
            <w:tcW w:w="2505" w:type="dxa"/>
          </w:tcPr>
          <w:p>
            <w:pPr>
              <w:numPr>
                <w:ilvl w:val="0"/>
                <w:numId w:val="0"/>
              </w:numPr>
              <w:ind w:firstLine="720" w:firstLineChars="300"/>
              <w:jc w:val="center"/>
              <w:rPr>
                <w:rFonts w:hint="eastAsia"/>
                <w:sz w:val="24"/>
                <w:szCs w:val="24"/>
                <w:vertAlign w:val="baseline"/>
                <w:lang w:val="en-US" w:eastAsia="zh-CN"/>
              </w:rPr>
            </w:pPr>
            <w:r>
              <w:rPr>
                <w:rFonts w:hint="eastAsia"/>
                <w:sz w:val="24"/>
                <w:szCs w:val="24"/>
                <w:vertAlign w:val="baseline"/>
                <w:lang w:val="en-US" w:eastAsia="zh-CN"/>
              </w:rPr>
              <w:t>项目</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数量</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单位</w:t>
            </w:r>
          </w:p>
        </w:tc>
        <w:tc>
          <w:tcPr>
            <w:tcW w:w="142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单价（元）</w:t>
            </w:r>
          </w:p>
        </w:tc>
        <w:tc>
          <w:tcPr>
            <w:tcW w:w="142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ind w:firstLine="240" w:firstLineChars="100"/>
              <w:jc w:val="both"/>
              <w:rPr>
                <w:rFonts w:hint="eastAsia"/>
                <w:sz w:val="24"/>
                <w:szCs w:val="24"/>
                <w:vertAlign w:val="baseline"/>
                <w:lang w:val="en-US" w:eastAsia="zh-CN"/>
              </w:rPr>
            </w:pPr>
            <w:r>
              <w:rPr>
                <w:rFonts w:hint="eastAsia"/>
                <w:sz w:val="24"/>
                <w:szCs w:val="24"/>
                <w:vertAlign w:val="baseline"/>
                <w:lang w:val="en-US" w:eastAsia="zh-CN"/>
              </w:rPr>
              <w:t>1</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2.0mm屏幕</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11.304</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平方米</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2</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视频处理器</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台</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3</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 xml:space="preserve">数据接收卡 </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46</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张</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4</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发送控制系统</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3</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套</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5</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智能配电柜</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套</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6</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 xml:space="preserve">定制钢架结构 </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套</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7</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黑钛显示屏包边</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项</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8</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弱电综合布线</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项</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9</w:t>
            </w:r>
          </w:p>
        </w:tc>
        <w:tc>
          <w:tcPr>
            <w:tcW w:w="2505"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施工人工</w:t>
            </w:r>
          </w:p>
        </w:tc>
        <w:tc>
          <w:tcPr>
            <w:tcW w:w="974"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w:t>
            </w:r>
          </w:p>
        </w:tc>
        <w:tc>
          <w:tcPr>
            <w:tcW w:w="142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项</w:t>
            </w:r>
          </w:p>
        </w:tc>
        <w:tc>
          <w:tcPr>
            <w:tcW w:w="1421" w:type="dxa"/>
          </w:tcPr>
          <w:p>
            <w:pPr>
              <w:numPr>
                <w:ilvl w:val="0"/>
                <w:numId w:val="0"/>
              </w:numPr>
              <w:jc w:val="center"/>
              <w:rPr>
                <w:rFonts w:hint="eastAsia"/>
                <w:sz w:val="24"/>
                <w:szCs w:val="24"/>
                <w:vertAlign w:val="baseline"/>
                <w:lang w:val="en-US" w:eastAsia="zh-CN"/>
              </w:rPr>
            </w:pPr>
          </w:p>
        </w:tc>
        <w:tc>
          <w:tcPr>
            <w:tcW w:w="1421" w:type="dxa"/>
          </w:tcPr>
          <w:p>
            <w:pPr>
              <w:numPr>
                <w:ilvl w:val="0"/>
                <w:numId w:val="0"/>
              </w:num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numPr>
                <w:ilvl w:val="0"/>
                <w:numId w:val="0"/>
              </w:numPr>
              <w:jc w:val="both"/>
              <w:rPr>
                <w:rFonts w:hint="eastAsia"/>
                <w:b/>
                <w:bCs/>
                <w:sz w:val="24"/>
                <w:szCs w:val="24"/>
                <w:vertAlign w:val="baseline"/>
                <w:lang w:val="en-US" w:eastAsia="zh-CN"/>
              </w:rPr>
            </w:pPr>
            <w:r>
              <w:rPr>
                <w:rFonts w:hint="eastAsia"/>
                <w:b/>
                <w:bCs/>
                <w:sz w:val="24"/>
                <w:szCs w:val="24"/>
                <w:vertAlign w:val="baseline"/>
                <w:lang w:val="en-US" w:eastAsia="zh-CN"/>
              </w:rPr>
              <w:t>注：本报价应符合询价文件第一章报价人须知中，针对工程量清单报价的所有要求。本报价有标价的单价和总额价均已包括了实施和完成合同工程所需的人工、设备材料、机械、安装调试、检测、缺陷修复、管理、验收、保险、税费、利润等费用，以及合同明示或暗示的所有责任、义务和一般风险，不再另行单独报价。</w:t>
            </w:r>
          </w:p>
        </w:tc>
      </w:tr>
    </w:tbl>
    <w:p>
      <w:pPr>
        <w:numPr>
          <w:ilvl w:val="0"/>
          <w:numId w:val="0"/>
        </w:numPr>
        <w:jc w:val="center"/>
        <w:rPr>
          <w:rFonts w:hint="eastAsia"/>
          <w:lang w:val="en-US" w:eastAsia="zh-CN"/>
        </w:rPr>
      </w:pPr>
    </w:p>
    <w:p>
      <w:pPr>
        <w:numPr>
          <w:ilvl w:val="0"/>
          <w:numId w:val="0"/>
        </w:numPr>
        <w:jc w:val="both"/>
        <w:rPr>
          <w:rFonts w:hint="eastAsia"/>
          <w:lang w:val="en-US" w:eastAsia="zh-CN"/>
        </w:rPr>
      </w:pPr>
    </w:p>
    <w:p>
      <w:pPr>
        <w:numPr>
          <w:ilvl w:val="0"/>
          <w:numId w:val="0"/>
        </w:numPr>
        <w:jc w:val="both"/>
        <w:rPr>
          <w:rFonts w:hint="eastAsia"/>
          <w:lang w:val="en-US" w:eastAsia="zh-CN"/>
        </w:rPr>
      </w:pPr>
    </w:p>
    <w:p>
      <w:pPr>
        <w:pStyle w:val="2"/>
        <w:keepLines/>
        <w:spacing w:before="340" w:after="330" w:line="360" w:lineRule="auto"/>
        <w:jc w:val="center"/>
        <w:rPr>
          <w:rFonts w:ascii="宋体" w:hAnsi="宋体" w:cs="宋体"/>
          <w:b/>
          <w:bCs/>
          <w:color w:val="000000"/>
          <w:kern w:val="44"/>
          <w:sz w:val="32"/>
          <w:szCs w:val="32"/>
          <w:u w:val="none"/>
        </w:rPr>
      </w:pPr>
      <w:r>
        <w:rPr>
          <w:rFonts w:hint="eastAsia" w:ascii="宋体" w:hAnsi="宋体" w:cs="宋体"/>
          <w:b/>
          <w:bCs/>
          <w:color w:val="000000"/>
          <w:kern w:val="44"/>
          <w:sz w:val="32"/>
          <w:szCs w:val="32"/>
          <w:u w:val="none"/>
        </w:rPr>
        <w:t>第四章  资格审查资料</w:t>
      </w:r>
    </w:p>
    <w:p>
      <w:pPr>
        <w:spacing w:line="360" w:lineRule="auto"/>
        <w:ind w:firstLine="440" w:firstLineChars="200"/>
        <w:rPr>
          <w:rFonts w:ascii="宋体" w:hAnsi="宋体"/>
          <w:color w:val="000000"/>
          <w:sz w:val="22"/>
          <w:szCs w:val="22"/>
        </w:rPr>
      </w:pPr>
    </w:p>
    <w:p>
      <w:pPr>
        <w:spacing w:line="360" w:lineRule="auto"/>
        <w:ind w:firstLine="560" w:firstLineChars="200"/>
        <w:rPr>
          <w:rFonts w:ascii="宋体" w:hAnsi="宋体"/>
          <w:sz w:val="28"/>
          <w:szCs w:val="28"/>
        </w:rPr>
      </w:pPr>
      <w:r>
        <w:rPr>
          <w:rFonts w:hint="eastAsia" w:ascii="宋体" w:hAnsi="宋体"/>
          <w:sz w:val="28"/>
          <w:szCs w:val="28"/>
        </w:rPr>
        <w:t>在此处应按本询价文件第一章第</w:t>
      </w:r>
      <w:r>
        <w:rPr>
          <w:rFonts w:hint="eastAsia" w:hAnsi="宋体"/>
          <w:color w:val="000000"/>
          <w:sz w:val="28"/>
          <w:szCs w:val="28"/>
        </w:rPr>
        <w:t>四</w:t>
      </w:r>
      <w:r>
        <w:rPr>
          <w:rFonts w:hint="eastAsia" w:ascii="宋体" w:hAnsi="宋体"/>
          <w:sz w:val="28"/>
          <w:szCs w:val="28"/>
        </w:rPr>
        <w:t>条“</w:t>
      </w:r>
      <w:r>
        <w:rPr>
          <w:rFonts w:hint="eastAsia" w:hAnsi="宋体"/>
          <w:color w:val="000000"/>
          <w:sz w:val="28"/>
          <w:szCs w:val="28"/>
        </w:rPr>
        <w:t>参与报价条件</w:t>
      </w:r>
      <w:r>
        <w:rPr>
          <w:rFonts w:hint="eastAsia" w:ascii="宋体" w:hAnsi="宋体"/>
          <w:sz w:val="28"/>
          <w:szCs w:val="28"/>
        </w:rPr>
        <w:t>”的相关要求，附上需提供的资格审查材料的影印件（并加盖单位鲜章），如企业营业执照、业绩证明材料、</w:t>
      </w:r>
      <w:r>
        <w:rPr>
          <w:rFonts w:hint="eastAsia" w:hAnsi="宋体" w:cs="Courier New"/>
          <w:color w:val="000000"/>
          <w:sz w:val="28"/>
          <w:szCs w:val="28"/>
        </w:rPr>
        <w:t>质量认证证书</w:t>
      </w:r>
      <w:r>
        <w:rPr>
          <w:rFonts w:hint="eastAsia" w:ascii="宋体" w:hAnsi="宋体"/>
          <w:sz w:val="28"/>
          <w:szCs w:val="28"/>
        </w:rPr>
        <w:t>等。</w:t>
      </w:r>
    </w:p>
    <w:p>
      <w:pPr>
        <w:numPr>
          <w:ilvl w:val="0"/>
          <w:numId w:val="0"/>
        </w:numPr>
        <w:jc w:val="both"/>
        <w:rPr>
          <w:rFonts w:hint="eastAsia"/>
          <w:lang w:val="en-US" w:eastAsia="zh-CN"/>
        </w:rPr>
      </w:pPr>
    </w:p>
    <w:p>
      <w:pPr>
        <w:numPr>
          <w:ilvl w:val="0"/>
          <w:numId w:val="0"/>
        </w:numPr>
        <w:jc w:val="both"/>
        <w:rPr>
          <w:rFonts w:hint="eastAsia"/>
          <w:lang w:val="en-US" w:eastAsia="zh-CN"/>
        </w:rPr>
      </w:pPr>
    </w:p>
    <w:p>
      <w:pPr>
        <w:numPr>
          <w:ilvl w:val="0"/>
          <w:numId w:val="0"/>
        </w:numPr>
        <w:jc w:val="both"/>
        <w:rPr>
          <w:rFonts w:hint="eastAsia"/>
          <w:lang w:val="en-US" w:eastAsia="zh-CN"/>
        </w:rPr>
      </w:pPr>
      <w:r>
        <w:rPr>
          <w:rFonts w:hint="eastAsia"/>
          <w:lang w:val="en-US" w:eastAsia="zh-CN"/>
        </w:rPr>
        <w:t xml:space="preserve">                     </w:t>
      </w:r>
      <w:r>
        <w:rPr>
          <w:rFonts w:hint="eastAsia"/>
          <w:b/>
          <w:bCs/>
          <w:sz w:val="32"/>
          <w:szCs w:val="40"/>
          <w:lang w:val="en-US" w:eastAsia="zh-CN"/>
        </w:rPr>
        <w:t xml:space="preserve">   第五章  开标时间及地点</w:t>
      </w:r>
    </w:p>
    <w:p>
      <w:pPr>
        <w:numPr>
          <w:ilvl w:val="0"/>
          <w:numId w:val="0"/>
        </w:numPr>
        <w:jc w:val="both"/>
        <w:rPr>
          <w:rFonts w:hint="eastAsia"/>
          <w:sz w:val="32"/>
          <w:szCs w:val="40"/>
          <w:lang w:val="en-US" w:eastAsia="zh-CN"/>
        </w:rPr>
      </w:pPr>
      <w:r>
        <w:rPr>
          <w:rFonts w:hint="eastAsia"/>
          <w:sz w:val="32"/>
          <w:szCs w:val="40"/>
          <w:lang w:val="en-US" w:eastAsia="zh-CN"/>
        </w:rPr>
        <w:t>开标时间：2018年12月19日15:00</w:t>
      </w:r>
    </w:p>
    <w:p>
      <w:pPr>
        <w:numPr>
          <w:ilvl w:val="0"/>
          <w:numId w:val="0"/>
        </w:numPr>
        <w:jc w:val="both"/>
        <w:rPr>
          <w:rFonts w:hint="eastAsia"/>
          <w:sz w:val="32"/>
          <w:szCs w:val="40"/>
          <w:lang w:val="en-US" w:eastAsia="zh-CN"/>
        </w:rPr>
      </w:pPr>
      <w:r>
        <w:rPr>
          <w:rFonts w:hint="eastAsia"/>
          <w:sz w:val="32"/>
          <w:szCs w:val="40"/>
          <w:lang w:val="en-US" w:eastAsia="zh-CN"/>
        </w:rPr>
        <w:t>开标地点：下一站都市B区11楼1107会议室</w:t>
      </w:r>
    </w:p>
    <w:p>
      <w:pPr>
        <w:numPr>
          <w:ilvl w:val="0"/>
          <w:numId w:val="0"/>
        </w:numPr>
        <w:jc w:val="both"/>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BatangCh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E6653"/>
    <w:rsid w:val="01B61B8C"/>
    <w:rsid w:val="02536183"/>
    <w:rsid w:val="04A6795F"/>
    <w:rsid w:val="084738D8"/>
    <w:rsid w:val="08D82E13"/>
    <w:rsid w:val="094F265E"/>
    <w:rsid w:val="0C6D298C"/>
    <w:rsid w:val="0F684366"/>
    <w:rsid w:val="13FE011B"/>
    <w:rsid w:val="244C30DC"/>
    <w:rsid w:val="24733F1D"/>
    <w:rsid w:val="258E03EC"/>
    <w:rsid w:val="26D35758"/>
    <w:rsid w:val="27623F57"/>
    <w:rsid w:val="2FE83AA5"/>
    <w:rsid w:val="30227998"/>
    <w:rsid w:val="38E42A5D"/>
    <w:rsid w:val="3A0B61F5"/>
    <w:rsid w:val="4106173E"/>
    <w:rsid w:val="48E63495"/>
    <w:rsid w:val="4BB31A4E"/>
    <w:rsid w:val="514D0647"/>
    <w:rsid w:val="5C60259F"/>
    <w:rsid w:val="5F2A5972"/>
    <w:rsid w:val="60674231"/>
    <w:rsid w:val="622E1A43"/>
    <w:rsid w:val="636A0C8A"/>
    <w:rsid w:val="66E71486"/>
    <w:rsid w:val="6C700F96"/>
    <w:rsid w:val="6CA53236"/>
    <w:rsid w:val="6D7C66EE"/>
    <w:rsid w:val="74C62F61"/>
    <w:rsid w:val="7DCF4AC5"/>
    <w:rsid w:val="7E0D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440" w:lineRule="exact"/>
      <w:outlineLvl w:val="0"/>
    </w:pPr>
    <w:rPr>
      <w:sz w:val="24"/>
      <w:szCs w:val="24"/>
      <w:u w:val="single"/>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 w:val="21"/>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4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ascii="BatangChe" w:hAnsi="BatangChe" w:eastAsia="BatangChe" w:cs="BatangChe"/>
      <w:color w:val="000000"/>
      <w:sz w:val="18"/>
      <w:szCs w:val="18"/>
      <w:u w:val="none"/>
    </w:rPr>
  </w:style>
  <w:style w:type="character" w:customStyle="1" w:styleId="10">
    <w:name w:val="font5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2018-08-27T02:37:00Z</dcterms:created>
  <dc:creator>李娟</dc:creator>
  <cp:lastModifiedBy>王超</cp:lastModifiedBy>
  <cp:lastPrinted>2018-12-12T07:38:03Z</cp:lastPrinted>
  <dcterms:modified xsi:type="dcterms:W3CDTF">2018-12-12T08:46:45Z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