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四川成乐高速公路有限责任公司运营管理分公司</w:t>
      </w:r>
    </w:p>
    <w:p>
      <w:pPr>
        <w:ind w:firstLine="2280" w:firstLineChars="600"/>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2019年度车辆采购</w:t>
      </w:r>
    </w:p>
    <w:p>
      <w:pPr>
        <w:ind w:firstLine="2660" w:firstLineChars="700"/>
        <w:jc w:val="both"/>
        <w:rPr>
          <w:rFonts w:hint="eastAsia" w:ascii="方正小标宋简体" w:eastAsia="方正小标宋简体"/>
          <w:spacing w:val="-30"/>
          <w:sz w:val="44"/>
          <w:szCs w:val="44"/>
          <w:lang w:val="en-US" w:eastAsia="zh-CN"/>
        </w:rPr>
      </w:pPr>
    </w:p>
    <w:p>
      <w:pPr>
        <w:ind w:firstLine="2660" w:firstLineChars="700"/>
        <w:jc w:val="both"/>
        <w:rPr>
          <w:rFonts w:hint="eastAsia" w:ascii="方正小标宋简体" w:eastAsia="方正小标宋简体"/>
          <w:spacing w:val="-30"/>
          <w:sz w:val="44"/>
          <w:szCs w:val="44"/>
          <w:lang w:val="en-US" w:eastAsia="zh-CN"/>
        </w:rPr>
      </w:pPr>
    </w:p>
    <w:p>
      <w:pPr>
        <w:ind w:firstLine="2660" w:firstLineChars="700"/>
        <w:jc w:val="both"/>
        <w:rPr>
          <w:rFonts w:hint="eastAsia" w:ascii="方正小标宋简体" w:eastAsia="方正小标宋简体"/>
          <w:spacing w:val="-30"/>
          <w:sz w:val="44"/>
          <w:szCs w:val="44"/>
          <w:lang w:val="en-US" w:eastAsia="zh-CN"/>
        </w:rPr>
      </w:pPr>
    </w:p>
    <w:p>
      <w:pPr>
        <w:jc w:val="both"/>
        <w:rPr>
          <w:rFonts w:hint="eastAsia" w:ascii="方正小标宋简体" w:eastAsia="方正小标宋简体"/>
          <w:spacing w:val="-30"/>
          <w:sz w:val="44"/>
          <w:szCs w:val="44"/>
          <w:lang w:val="en-US" w:eastAsia="zh-CN"/>
        </w:rPr>
      </w:pPr>
    </w:p>
    <w:p>
      <w:pPr>
        <w:ind w:firstLine="1840" w:firstLineChars="400"/>
        <w:jc w:val="both"/>
        <w:rPr>
          <w:rFonts w:hint="eastAsia" w:ascii="方正小标宋简体" w:eastAsia="方正小标宋简体"/>
          <w:spacing w:val="-30"/>
          <w:sz w:val="52"/>
          <w:szCs w:val="52"/>
          <w:lang w:val="en-US" w:eastAsia="zh-CN"/>
        </w:rPr>
      </w:pPr>
      <w:r>
        <w:rPr>
          <w:rFonts w:hint="eastAsia" w:ascii="方正小标宋简体" w:eastAsia="方正小标宋简体"/>
          <w:spacing w:val="-30"/>
          <w:sz w:val="52"/>
          <w:szCs w:val="52"/>
          <w:lang w:val="en-US" w:eastAsia="zh-CN"/>
        </w:rPr>
        <w:t>比  选  招  标  文  件</w:t>
      </w:r>
    </w:p>
    <w:p>
      <w:pPr>
        <w:ind w:firstLine="1840" w:firstLineChars="400"/>
        <w:jc w:val="both"/>
        <w:rPr>
          <w:rFonts w:hint="eastAsia" w:ascii="方正小标宋简体" w:eastAsia="方正小标宋简体"/>
          <w:spacing w:val="-30"/>
          <w:sz w:val="52"/>
          <w:szCs w:val="52"/>
          <w:lang w:val="en-US" w:eastAsia="zh-CN"/>
        </w:rPr>
      </w:pPr>
    </w:p>
    <w:p>
      <w:pPr>
        <w:ind w:firstLine="1840" w:firstLineChars="400"/>
        <w:jc w:val="both"/>
        <w:rPr>
          <w:rFonts w:hint="eastAsia" w:ascii="方正小标宋简体" w:eastAsia="方正小标宋简体"/>
          <w:spacing w:val="-30"/>
          <w:sz w:val="52"/>
          <w:szCs w:val="52"/>
          <w:lang w:val="en-US" w:eastAsia="zh-CN"/>
        </w:rPr>
      </w:pPr>
    </w:p>
    <w:p>
      <w:pPr>
        <w:ind w:firstLine="1840" w:firstLineChars="400"/>
        <w:jc w:val="both"/>
        <w:rPr>
          <w:rFonts w:hint="eastAsia" w:ascii="方正小标宋简体" w:eastAsia="方正小标宋简体"/>
          <w:spacing w:val="-30"/>
          <w:sz w:val="52"/>
          <w:szCs w:val="52"/>
          <w:lang w:val="en-US" w:eastAsia="zh-CN"/>
        </w:rPr>
      </w:pPr>
    </w:p>
    <w:p>
      <w:pPr>
        <w:ind w:firstLine="1840" w:firstLineChars="400"/>
        <w:jc w:val="both"/>
        <w:rPr>
          <w:rFonts w:hint="eastAsia" w:ascii="方正小标宋简体" w:eastAsia="方正小标宋简体"/>
          <w:spacing w:val="-30"/>
          <w:sz w:val="52"/>
          <w:szCs w:val="52"/>
          <w:lang w:val="en-US" w:eastAsia="zh-CN"/>
        </w:rPr>
      </w:pP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四川成乐高速公路有限责任公司运营管理分公司</w:t>
      </w: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 xml:space="preserve">                  2019年8月</w:t>
      </w: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 xml:space="preserve">    </w:t>
      </w:r>
    </w:p>
    <w:p>
      <w:pPr>
        <w:jc w:val="center"/>
        <w:rPr>
          <w:rFonts w:hint="eastAsia" w:ascii="方正小标宋简体" w:eastAsia="方正小标宋简体"/>
          <w:spacing w:val="-30"/>
          <w:sz w:val="44"/>
          <w:szCs w:val="44"/>
        </w:rPr>
      </w:pP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 xml:space="preserve">         第一章        比选招标文件</w:t>
      </w:r>
    </w:p>
    <w:p>
      <w:pPr>
        <w:jc w:val="center"/>
        <w:rPr>
          <w:rFonts w:hint="eastAsia" w:ascii="方正小标宋简体" w:eastAsia="方正小标宋简体"/>
          <w:spacing w:val="-30"/>
          <w:sz w:val="44"/>
          <w:szCs w:val="44"/>
        </w:rPr>
      </w:pPr>
      <w:r>
        <w:rPr>
          <w:rFonts w:hint="eastAsia" w:ascii="方正小标宋简体" w:eastAsia="方正小标宋简体"/>
          <w:spacing w:val="-30"/>
          <w:sz w:val="44"/>
          <w:szCs w:val="44"/>
        </w:rPr>
        <w:t>四川成乐高速公路有限责任公司运营管理分公司</w:t>
      </w:r>
      <w:r>
        <w:rPr>
          <w:rFonts w:hint="eastAsia" w:ascii="方正小标宋简体" w:eastAsia="方正小标宋简体"/>
          <w:spacing w:val="-20"/>
          <w:sz w:val="44"/>
          <w:szCs w:val="44"/>
        </w:rPr>
        <w:t>201</w:t>
      </w:r>
      <w:r>
        <w:rPr>
          <w:rFonts w:hint="eastAsia" w:ascii="方正小标宋简体" w:eastAsia="方正小标宋简体"/>
          <w:spacing w:val="-20"/>
          <w:sz w:val="44"/>
          <w:szCs w:val="44"/>
          <w:lang w:val="en-US" w:eastAsia="zh-CN"/>
        </w:rPr>
        <w:t>9</w:t>
      </w:r>
      <w:r>
        <w:rPr>
          <w:rFonts w:hint="eastAsia" w:ascii="方正小标宋简体" w:eastAsia="方正小标宋简体"/>
          <w:spacing w:val="-20"/>
          <w:sz w:val="44"/>
          <w:szCs w:val="44"/>
        </w:rPr>
        <w:t>年车</w:t>
      </w:r>
      <w:r>
        <w:rPr>
          <w:rFonts w:hint="eastAsia" w:ascii="方正小标宋简体" w:eastAsia="方正小标宋简体"/>
          <w:spacing w:val="-20"/>
          <w:sz w:val="44"/>
          <w:szCs w:val="44"/>
          <w:lang w:val="en-US" w:eastAsia="zh-CN"/>
        </w:rPr>
        <w:t>辆</w:t>
      </w:r>
      <w:r>
        <w:rPr>
          <w:rFonts w:hint="eastAsia" w:ascii="方正小标宋简体" w:eastAsia="方正小标宋简体"/>
          <w:spacing w:val="-20"/>
          <w:sz w:val="44"/>
          <w:szCs w:val="44"/>
        </w:rPr>
        <w:t>采购</w:t>
      </w:r>
      <w:r>
        <w:rPr>
          <w:rFonts w:hint="eastAsia" w:ascii="方正小标宋简体" w:eastAsia="方正小标宋简体"/>
          <w:spacing w:val="-20"/>
          <w:sz w:val="44"/>
          <w:szCs w:val="44"/>
          <w:lang w:val="en-US" w:eastAsia="zh-CN"/>
        </w:rPr>
        <w:t>第二次</w:t>
      </w:r>
      <w:r>
        <w:rPr>
          <w:rFonts w:hint="eastAsia" w:ascii="方正小标宋简体" w:eastAsia="方正小标宋简体"/>
          <w:spacing w:val="-20"/>
          <w:sz w:val="44"/>
          <w:szCs w:val="44"/>
        </w:rPr>
        <w:t>比选</w:t>
      </w:r>
      <w:r>
        <w:rPr>
          <w:rFonts w:hint="eastAsia" w:ascii="方正小标宋简体" w:eastAsia="方正小标宋简体"/>
          <w:spacing w:val="-20"/>
          <w:sz w:val="44"/>
          <w:szCs w:val="44"/>
          <w:lang w:val="en-US" w:eastAsia="zh-CN"/>
        </w:rPr>
        <w:t>公告</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我司于2019年8月14日10点00分组织召开的“2019年车辆采购比选”开标评议中，因A标只有一家投标人提供了基本账户开户许可证证明，其余两家投标人未提供；B标和C标投标人均未提供基本账户许可证证明，故宣布本次比选流标。现我司拟对该项目进行第二次比选，公告如下：</w:t>
      </w:r>
    </w:p>
    <w:p>
      <w:pPr>
        <w:numPr>
          <w:ilvl w:val="0"/>
          <w:numId w:val="1"/>
        </w:num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项目名称：</w:t>
      </w:r>
    </w:p>
    <w:p>
      <w:pPr>
        <w:numPr>
          <w:ilvl w:val="0"/>
          <w:numId w:val="0"/>
        </w:numPr>
        <w:spacing w:line="540" w:lineRule="exact"/>
        <w:ind w:firstLine="6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2019年车辆采购</w:t>
      </w:r>
    </w:p>
    <w:p>
      <w:pPr>
        <w:numPr>
          <w:ilvl w:val="0"/>
          <w:numId w:val="1"/>
        </w:num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招标人：</w:t>
      </w:r>
    </w:p>
    <w:p>
      <w:pPr>
        <w:numPr>
          <w:ilvl w:val="0"/>
          <w:numId w:val="0"/>
        </w:numPr>
        <w:spacing w:line="540" w:lineRule="exact"/>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四川成乐高速公路有限责任公司运营管理分公司</w:t>
      </w:r>
    </w:p>
    <w:p>
      <w:pPr>
        <w:numPr>
          <w:ilvl w:val="0"/>
          <w:numId w:val="1"/>
        </w:numPr>
        <w:spacing w:line="540" w:lineRule="exact"/>
        <w:ind w:firstLine="675" w:firstLineChars="22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项目概况</w:t>
      </w:r>
      <w:r>
        <w:rPr>
          <w:rFonts w:hint="eastAsia" w:ascii="仿宋_GB2312" w:hAnsi="仿宋_GB2312" w:eastAsia="仿宋_GB2312" w:cs="仿宋_GB2312"/>
          <w:b w:val="0"/>
          <w:bCs w:val="0"/>
          <w:sz w:val="30"/>
          <w:szCs w:val="30"/>
          <w:lang w:eastAsia="zh-CN"/>
        </w:rPr>
        <w:t>：</w:t>
      </w:r>
    </w:p>
    <w:p>
      <w:pPr>
        <w:spacing w:line="540" w:lineRule="exact"/>
        <w:ind w:firstLine="675" w:firstLineChars="225"/>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1、2辆皮卡车、1辆考斯特客车、1辆商务车（具体技术指标参数见比选招标文件，于本公告下方点击下载）。</w:t>
      </w:r>
    </w:p>
    <w:p>
      <w:pPr>
        <w:numPr>
          <w:ilvl w:val="0"/>
          <w:numId w:val="2"/>
        </w:numPr>
        <w:spacing w:line="540" w:lineRule="exact"/>
        <w:ind w:firstLine="675" w:firstLineChars="225"/>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本次车辆采购按车型分为A、B、C三个标段</w:t>
      </w:r>
    </w:p>
    <w:p>
      <w:pPr>
        <w:numPr>
          <w:ilvl w:val="0"/>
          <w:numId w:val="0"/>
        </w:numPr>
        <w:spacing w:line="540" w:lineRule="exact"/>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A标段为皮卡车（2辆），单辆皮卡车</w:t>
      </w:r>
      <w:r>
        <w:rPr>
          <w:rFonts w:hint="eastAsia" w:ascii="仿宋_GB2312" w:hAnsi="仿宋_GB2312" w:eastAsia="仿宋_GB2312" w:cs="仿宋_GB2312"/>
          <w:b w:val="0"/>
          <w:bCs w:val="0"/>
          <w:sz w:val="30"/>
          <w:szCs w:val="30"/>
        </w:rPr>
        <w:t>最高限价为</w:t>
      </w:r>
      <w:r>
        <w:rPr>
          <w:rFonts w:hint="eastAsia" w:ascii="仿宋_GB2312" w:hAnsi="仿宋_GB2312" w:eastAsia="仿宋_GB2312" w:cs="仿宋_GB2312"/>
          <w:b w:val="0"/>
          <w:bCs w:val="0"/>
          <w:sz w:val="30"/>
          <w:szCs w:val="30"/>
          <w:lang w:val="en-US" w:eastAsia="zh-CN"/>
        </w:rPr>
        <w:t>18</w:t>
      </w:r>
      <w:r>
        <w:rPr>
          <w:rFonts w:hint="eastAsia" w:ascii="仿宋_GB2312" w:hAnsi="仿宋_GB2312" w:eastAsia="仿宋_GB2312" w:cs="仿宋_GB2312"/>
          <w:b w:val="0"/>
          <w:bCs w:val="0"/>
          <w:sz w:val="30"/>
          <w:szCs w:val="30"/>
        </w:rPr>
        <w:t>万元</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2辆最高限价为36万元</w:t>
      </w:r>
      <w:r>
        <w:rPr>
          <w:rFonts w:hint="eastAsia" w:ascii="仿宋_GB2312" w:hAnsi="仿宋_GB2312" w:eastAsia="仿宋_GB2312" w:cs="仿宋_GB2312"/>
          <w:b w:val="0"/>
          <w:bCs w:val="0"/>
          <w:sz w:val="30"/>
          <w:szCs w:val="30"/>
        </w:rPr>
        <w:t>（含</w:t>
      </w:r>
      <w:r>
        <w:rPr>
          <w:rFonts w:hint="eastAsia" w:ascii="仿宋_GB2312" w:hAnsi="仿宋_GB2312" w:eastAsia="仿宋_GB2312" w:cs="仿宋_GB2312"/>
          <w:b w:val="0"/>
          <w:bCs w:val="0"/>
          <w:sz w:val="30"/>
          <w:szCs w:val="30"/>
          <w:lang w:val="en-US" w:eastAsia="zh-CN"/>
        </w:rPr>
        <w:t>各类税费、</w:t>
      </w:r>
      <w:r>
        <w:rPr>
          <w:rFonts w:hint="eastAsia" w:ascii="仿宋_GB2312" w:hAnsi="仿宋_GB2312" w:eastAsia="仿宋_GB2312" w:cs="仿宋_GB2312"/>
          <w:b w:val="0"/>
          <w:bCs w:val="0"/>
          <w:sz w:val="30"/>
          <w:szCs w:val="30"/>
        </w:rPr>
        <w:t>上牌费、运费）</w:t>
      </w:r>
      <w:r>
        <w:rPr>
          <w:rFonts w:hint="eastAsia" w:ascii="仿宋_GB2312" w:hAnsi="仿宋_GB2312" w:eastAsia="仿宋_GB2312" w:cs="仿宋_GB2312"/>
          <w:b w:val="0"/>
          <w:bCs w:val="0"/>
          <w:sz w:val="30"/>
          <w:szCs w:val="30"/>
          <w:lang w:eastAsia="zh-CN"/>
        </w:rPr>
        <w:t>；</w:t>
      </w:r>
    </w:p>
    <w:p>
      <w:pPr>
        <w:numPr>
          <w:ilvl w:val="0"/>
          <w:numId w:val="0"/>
        </w:numPr>
        <w:spacing w:line="54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B标段为考斯特客车（1辆）最高限价为50万元</w:t>
      </w:r>
      <w:r>
        <w:rPr>
          <w:rFonts w:hint="eastAsia" w:ascii="仿宋_GB2312" w:hAnsi="仿宋_GB2312" w:eastAsia="仿宋_GB2312" w:cs="仿宋_GB2312"/>
          <w:b w:val="0"/>
          <w:bCs w:val="0"/>
          <w:sz w:val="30"/>
          <w:szCs w:val="30"/>
        </w:rPr>
        <w:t>（含</w:t>
      </w:r>
      <w:r>
        <w:rPr>
          <w:rFonts w:hint="eastAsia" w:ascii="仿宋_GB2312" w:hAnsi="仿宋_GB2312" w:eastAsia="仿宋_GB2312" w:cs="仿宋_GB2312"/>
          <w:b w:val="0"/>
          <w:bCs w:val="0"/>
          <w:sz w:val="30"/>
          <w:szCs w:val="30"/>
          <w:lang w:val="en-US" w:eastAsia="zh-CN"/>
        </w:rPr>
        <w:t>各类税费、</w:t>
      </w:r>
      <w:r>
        <w:rPr>
          <w:rFonts w:hint="eastAsia" w:ascii="仿宋_GB2312" w:hAnsi="仿宋_GB2312" w:eastAsia="仿宋_GB2312" w:cs="仿宋_GB2312"/>
          <w:b w:val="0"/>
          <w:bCs w:val="0"/>
          <w:sz w:val="30"/>
          <w:szCs w:val="30"/>
        </w:rPr>
        <w:t>上牌费、运费）</w:t>
      </w:r>
      <w:r>
        <w:rPr>
          <w:rFonts w:hint="eastAsia" w:ascii="仿宋_GB2312" w:hAnsi="仿宋_GB2312" w:eastAsia="仿宋_GB2312" w:cs="仿宋_GB2312"/>
          <w:b w:val="0"/>
          <w:bCs w:val="0"/>
          <w:sz w:val="30"/>
          <w:szCs w:val="30"/>
          <w:lang w:eastAsia="zh-CN"/>
        </w:rPr>
        <w:t>；</w:t>
      </w:r>
    </w:p>
    <w:p>
      <w:pPr>
        <w:numPr>
          <w:ilvl w:val="0"/>
          <w:numId w:val="0"/>
        </w:numPr>
        <w:spacing w:line="540" w:lineRule="exact"/>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C标段为商务车（1辆）最高限价为38万元</w:t>
      </w:r>
      <w:r>
        <w:rPr>
          <w:rFonts w:hint="eastAsia" w:ascii="仿宋_GB2312" w:hAnsi="仿宋_GB2312" w:eastAsia="仿宋_GB2312" w:cs="仿宋_GB2312"/>
          <w:b w:val="0"/>
          <w:bCs w:val="0"/>
          <w:sz w:val="30"/>
          <w:szCs w:val="30"/>
        </w:rPr>
        <w:t>（含</w:t>
      </w:r>
      <w:r>
        <w:rPr>
          <w:rFonts w:hint="eastAsia" w:ascii="仿宋_GB2312" w:hAnsi="仿宋_GB2312" w:eastAsia="仿宋_GB2312" w:cs="仿宋_GB2312"/>
          <w:b w:val="0"/>
          <w:bCs w:val="0"/>
          <w:sz w:val="30"/>
          <w:szCs w:val="30"/>
          <w:lang w:val="en-US" w:eastAsia="zh-CN"/>
        </w:rPr>
        <w:t>各类税费、</w:t>
      </w:r>
      <w:r>
        <w:rPr>
          <w:rFonts w:hint="eastAsia" w:ascii="仿宋_GB2312" w:hAnsi="仿宋_GB2312" w:eastAsia="仿宋_GB2312" w:cs="仿宋_GB2312"/>
          <w:b w:val="0"/>
          <w:bCs w:val="0"/>
          <w:sz w:val="30"/>
          <w:szCs w:val="30"/>
        </w:rPr>
        <w:t>上牌费、运费）</w:t>
      </w:r>
      <w:r>
        <w:rPr>
          <w:rFonts w:hint="eastAsia" w:ascii="仿宋_GB2312" w:hAnsi="仿宋_GB2312" w:eastAsia="仿宋_GB2312" w:cs="仿宋_GB2312"/>
          <w:b w:val="0"/>
          <w:bCs w:val="0"/>
          <w:sz w:val="30"/>
          <w:szCs w:val="30"/>
          <w:lang w:eastAsia="zh-CN"/>
        </w:rPr>
        <w:t>；</w:t>
      </w:r>
    </w:p>
    <w:p>
      <w:pPr>
        <w:numPr>
          <w:ilvl w:val="0"/>
          <w:numId w:val="0"/>
        </w:numPr>
        <w:spacing w:line="540" w:lineRule="exact"/>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4辆车总费用最高限价为124万元</w:t>
      </w:r>
      <w:r>
        <w:rPr>
          <w:rFonts w:hint="eastAsia" w:ascii="仿宋_GB2312" w:hAnsi="仿宋_GB2312" w:eastAsia="仿宋_GB2312" w:cs="仿宋_GB2312"/>
          <w:b w:val="0"/>
          <w:bCs w:val="0"/>
          <w:sz w:val="30"/>
          <w:szCs w:val="30"/>
        </w:rPr>
        <w:t>（含</w:t>
      </w:r>
      <w:r>
        <w:rPr>
          <w:rFonts w:hint="eastAsia" w:ascii="仿宋_GB2312" w:hAnsi="仿宋_GB2312" w:eastAsia="仿宋_GB2312" w:cs="仿宋_GB2312"/>
          <w:b w:val="0"/>
          <w:bCs w:val="0"/>
          <w:sz w:val="30"/>
          <w:szCs w:val="30"/>
          <w:lang w:val="en-US" w:eastAsia="zh-CN"/>
        </w:rPr>
        <w:t>各类税费、</w:t>
      </w:r>
      <w:r>
        <w:rPr>
          <w:rFonts w:hint="eastAsia" w:ascii="仿宋_GB2312" w:hAnsi="仿宋_GB2312" w:eastAsia="仿宋_GB2312" w:cs="仿宋_GB2312"/>
          <w:b w:val="0"/>
          <w:bCs w:val="0"/>
          <w:sz w:val="30"/>
          <w:szCs w:val="30"/>
        </w:rPr>
        <w:t>上牌费、运费）</w:t>
      </w:r>
      <w:r>
        <w:rPr>
          <w:rFonts w:hint="eastAsia" w:ascii="仿宋_GB2312" w:hAnsi="仿宋_GB2312" w:eastAsia="仿宋_GB2312" w:cs="仿宋_GB2312"/>
          <w:b w:val="0"/>
          <w:bCs w:val="0"/>
          <w:sz w:val="30"/>
          <w:szCs w:val="30"/>
          <w:lang w:eastAsia="zh-CN"/>
        </w:rPr>
        <w:t>。</w:t>
      </w:r>
    </w:p>
    <w:p>
      <w:pPr>
        <w:numPr>
          <w:ilvl w:val="0"/>
          <w:numId w:val="3"/>
        </w:numPr>
        <w:spacing w:line="54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评标办法：评标采用资格后审，经评审的最低投标价法，双信封形式。</w:t>
      </w:r>
    </w:p>
    <w:p>
      <w:pPr>
        <w:numPr>
          <w:ilvl w:val="0"/>
          <w:numId w:val="3"/>
        </w:numPr>
        <w:spacing w:line="54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比选文件的获取</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0"/>
          <w:szCs w:val="30"/>
          <w:lang w:val="en-US" w:eastAsia="zh-CN"/>
        </w:rPr>
        <w:t>1、凡有意参加投标者，请于2019年8月19日开始在四川成乐高速公路有限责任公司运营管理分公司网站</w:t>
      </w:r>
      <w:r>
        <w:rPr>
          <w:rFonts w:hint="eastAsia" w:ascii="仿宋_GB2312" w:hAnsi="仿宋_GB2312" w:eastAsia="仿宋_GB2312" w:cs="仿宋_GB2312"/>
          <w:sz w:val="32"/>
          <w:szCs w:val="32"/>
          <w:lang w:val="en-US" w:eastAsia="zh-CN"/>
        </w:rPr>
        <w:t>（http://www.scclgsyy.com）免费下载比选文件。</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2、补遗书（如果有）在四川成乐高速公路有限责任公司运营管理分公司（http://www.scclgsyy.com）网站自行查阅和下载。</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六、投标人的资质要求</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1、为国内合法登记的法人或其他组织，具有独立法人资格，持有基本账户开户许可证、营业执照（三证合一或五证合一）：</w:t>
      </w:r>
    </w:p>
    <w:p>
      <w:pPr>
        <w:spacing w:line="540" w:lineRule="exact"/>
        <w:ind w:firstLine="675" w:firstLineChars="22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具有车辆经营合法资格</w:t>
      </w:r>
      <w:r>
        <w:rPr>
          <w:rFonts w:hint="eastAsia" w:ascii="仿宋_GB2312" w:hAnsi="仿宋_GB2312" w:eastAsia="仿宋_GB2312" w:cs="仿宋_GB2312"/>
          <w:b w:val="0"/>
          <w:bCs w:val="0"/>
          <w:sz w:val="30"/>
          <w:szCs w:val="30"/>
          <w:lang w:eastAsia="zh-CN"/>
        </w:rPr>
        <w:t>；</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3、注册资金≧500万元；</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4、本项目不接受联合体参与报价，具有投资控股关系的关联企业，或具有直接管理和被管理关系的母子公司，或法定代表人为同一人的两个及两个以上法人，均不得同时参与本项目的报价，否则均按废标处理。</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七、开标时间：2019年8月23日上午10:00。</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八、开标方式：投标人必须将按要求密封完好的投标文件以面交方式送到成都市武侯区武阳大道三段五号（下一站都市写字楼）B座11楼1107室。招标人定于投标文件送交截止时间的同一时间、同一地点举行开标，投标人应派代表出席并签认开标结果。</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逾期送达的或者未送达指定地点的投标文件，招标人不予受理。</w:t>
      </w:r>
    </w:p>
    <w:p>
      <w:pPr>
        <w:spacing w:line="54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联系人：林勇</w:t>
      </w:r>
    </w:p>
    <w:p>
      <w:pPr>
        <w:spacing w:line="54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联系电话</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13219056929</w:t>
      </w:r>
    </w:p>
    <w:p>
      <w:pPr>
        <w:spacing w:line="54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纪检监督电话：85047686</w:t>
      </w:r>
    </w:p>
    <w:p>
      <w:pPr>
        <w:spacing w:line="540" w:lineRule="exact"/>
        <w:ind w:firstLine="675" w:firstLineChars="22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邮编：610041</w:t>
      </w:r>
    </w:p>
    <w:p>
      <w:pPr>
        <w:rPr>
          <w:rFonts w:hint="eastAsia" w:ascii="仿宋_GB2312" w:hAnsi="仿宋_GB2312" w:eastAsia="仿宋_GB2312" w:cs="仿宋_GB2312"/>
        </w:rPr>
      </w:pPr>
    </w:p>
    <w:p>
      <w:pPr>
        <w:ind w:firstLine="678" w:firstLineChars="225"/>
        <w:rPr>
          <w:rFonts w:hint="eastAsia" w:ascii="仿宋_GB2312" w:hAnsi="仿宋_GB2312" w:eastAsia="仿宋_GB2312" w:cs="仿宋_GB2312"/>
          <w:b/>
          <w:bCs/>
          <w:sz w:val="30"/>
          <w:szCs w:val="30"/>
        </w:rPr>
      </w:pPr>
    </w:p>
    <w:p>
      <w:pPr>
        <w:pStyle w:val="2"/>
        <w:jc w:val="center"/>
        <w:rPr>
          <w:rFonts w:hint="eastAsia" w:ascii="仿宋_GB2312" w:hAnsi="仿宋_GB2312" w:eastAsia="仿宋_GB2312" w:cs="仿宋_GB2312"/>
          <w:b/>
          <w:bCs/>
          <w:sz w:val="36"/>
          <w:szCs w:val="36"/>
        </w:rPr>
      </w:pPr>
    </w:p>
    <w:p>
      <w:pPr>
        <w:pStyle w:val="2"/>
        <w:jc w:val="center"/>
        <w:rPr>
          <w:rFonts w:hint="eastAsia" w:ascii="仿宋_GB2312" w:hAnsi="仿宋_GB2312" w:eastAsia="仿宋_GB2312" w:cs="仿宋_GB2312"/>
          <w:b/>
          <w:bCs/>
          <w:sz w:val="36"/>
          <w:szCs w:val="36"/>
        </w:rPr>
      </w:pPr>
    </w:p>
    <w:p>
      <w:pPr>
        <w:pStyle w:val="2"/>
        <w:jc w:val="center"/>
        <w:rPr>
          <w:rFonts w:hint="eastAsia" w:ascii="仿宋_GB2312" w:hAnsi="仿宋_GB2312" w:eastAsia="仿宋_GB2312" w:cs="仿宋_GB2312"/>
          <w:b/>
          <w:bCs/>
          <w:sz w:val="36"/>
          <w:szCs w:val="36"/>
          <w:u w:val="none"/>
        </w:rPr>
      </w:pPr>
      <w:r>
        <w:rPr>
          <w:rFonts w:hint="eastAsia" w:ascii="仿宋_GB2312" w:hAnsi="仿宋_GB2312" w:eastAsia="仿宋_GB2312" w:cs="仿宋_GB2312"/>
          <w:b/>
          <w:bCs/>
          <w:sz w:val="36"/>
          <w:szCs w:val="36"/>
          <w:u w:val="none"/>
        </w:rPr>
        <w:t>第二章 报价人须知</w:t>
      </w:r>
    </w:p>
    <w:p>
      <w:pPr>
        <w:pStyle w:val="4"/>
        <w:spacing w:line="360" w:lineRule="auto"/>
        <w:jc w:val="center"/>
        <w:rPr>
          <w:rFonts w:hint="eastAsia" w:ascii="仿宋_GB2312" w:hAnsi="仿宋_GB2312" w:eastAsia="仿宋_GB2312" w:cs="仿宋_GB2312"/>
          <w:b/>
          <w:sz w:val="28"/>
          <w:szCs w:val="22"/>
        </w:rPr>
      </w:pP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
        <w:gridCol w:w="126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08" w:type="dxa"/>
            <w:vAlign w:val="center"/>
          </w:tcPr>
          <w:p>
            <w:pPr>
              <w:pStyle w:val="4"/>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条款号</w:t>
            </w:r>
          </w:p>
        </w:tc>
        <w:tc>
          <w:tcPr>
            <w:tcW w:w="1620" w:type="dxa"/>
            <w:gridSpan w:val="2"/>
            <w:vAlign w:val="center"/>
          </w:tcPr>
          <w:p>
            <w:pPr>
              <w:pStyle w:val="4"/>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条款名称</w:t>
            </w:r>
          </w:p>
        </w:tc>
        <w:tc>
          <w:tcPr>
            <w:tcW w:w="6300" w:type="dxa"/>
            <w:vAlign w:val="center"/>
          </w:tcPr>
          <w:p>
            <w:pPr>
              <w:pStyle w:val="4"/>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报价人信誉</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报价人不得存在下列情形之任何一条</w:t>
            </w:r>
          </w:p>
        </w:tc>
        <w:tc>
          <w:tcPr>
            <w:tcW w:w="6300"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1、被责令停业的；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2、被暂停或取消报价资格的；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3、财产被接管或冻结的； </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4、在最近三年内有骗取中标或严重违约或重大</w:t>
            </w:r>
            <w:r>
              <w:rPr>
                <w:rFonts w:hint="eastAsia" w:ascii="仿宋_GB2312" w:hAnsi="仿宋_GB2312" w:eastAsia="仿宋_GB2312" w:cs="仿宋_GB2312"/>
                <w:sz w:val="24"/>
                <w:szCs w:val="24"/>
                <w:lang w:val="en-US" w:eastAsia="zh-CN"/>
              </w:rPr>
              <w:t>车辆</w:t>
            </w:r>
            <w:r>
              <w:rPr>
                <w:rFonts w:hint="eastAsia" w:ascii="仿宋_GB2312" w:hAnsi="仿宋_GB2312" w:eastAsia="仿宋_GB2312" w:cs="仿宋_GB2312"/>
                <w:sz w:val="24"/>
                <w:szCs w:val="24"/>
              </w:rPr>
              <w:t>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w:t>
            </w:r>
          </w:p>
        </w:tc>
        <w:tc>
          <w:tcPr>
            <w:tcW w:w="6300" w:type="dxa"/>
            <w:vAlign w:val="center"/>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p>
        </w:tc>
        <w:tc>
          <w:tcPr>
            <w:tcW w:w="1620" w:type="dxa"/>
            <w:gridSpan w:val="2"/>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踏勘现场</w:t>
            </w:r>
          </w:p>
        </w:tc>
        <w:tc>
          <w:tcPr>
            <w:tcW w:w="6300" w:type="dxa"/>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√不组织</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008" w:type="dxa"/>
            <w:tcBorders>
              <w:bottom w:val="single" w:color="auto" w:sz="4" w:space="0"/>
            </w:tcBorders>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w:t>
            </w:r>
          </w:p>
        </w:tc>
        <w:tc>
          <w:tcPr>
            <w:tcW w:w="1620" w:type="dxa"/>
            <w:gridSpan w:val="2"/>
            <w:tcBorders>
              <w:bottom w:val="single" w:color="auto" w:sz="4" w:space="0"/>
            </w:tcBorders>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报价预备会</w:t>
            </w:r>
          </w:p>
        </w:tc>
        <w:tc>
          <w:tcPr>
            <w:tcW w:w="6300" w:type="dxa"/>
            <w:tcBorders>
              <w:bottom w:val="single" w:color="auto" w:sz="4" w:space="0"/>
            </w:tcBorders>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√不召开</w:t>
            </w:r>
          </w:p>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报价人提出问题的截止时间</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3</w:t>
            </w:r>
            <w:r>
              <w:rPr>
                <w:rFonts w:hint="eastAsia" w:ascii="仿宋_GB2312" w:hAnsi="仿宋_GB2312" w:eastAsia="仿宋_GB2312" w:cs="仿宋_GB2312"/>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1.3.4</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rPr>
              <w:t>人书面澄清的时间</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2</w:t>
            </w:r>
            <w:r>
              <w:rPr>
                <w:rFonts w:hint="eastAsia" w:ascii="仿宋_GB2312" w:hAnsi="仿宋_GB2312" w:eastAsia="仿宋_GB2312" w:cs="仿宋_GB2312"/>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递交报价文件及开标时间</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w:t>
            </w:r>
            <w:r>
              <w:rPr>
                <w:rFonts w:hint="eastAsia" w:ascii="仿宋_GB2312" w:hAnsi="仿宋_GB2312" w:eastAsia="仿宋_GB2312" w:cs="仿宋_GB2312"/>
                <w:sz w:val="24"/>
                <w:szCs w:val="24"/>
                <w:lang w:val="en-US" w:eastAsia="zh-CN"/>
              </w:rPr>
              <w:t>比选招标公告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6"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构成</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文件的其他材料</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文件应包括下列内容：</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比选招标公告</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（2）报价人须知</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（3）评标办法</w:t>
            </w:r>
          </w:p>
          <w:p>
            <w:pPr>
              <w:pStyle w:val="4"/>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合同条款及格式</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（4）报价人须知前附表规定和其他材料</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8" w:hRule="atLeast"/>
        </w:trPr>
        <w:tc>
          <w:tcPr>
            <w:tcW w:w="1008" w:type="dxa"/>
            <w:tcBorders>
              <w:bottom w:val="single" w:color="auto" w:sz="4" w:space="0"/>
            </w:tcBorders>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620" w:type="dxa"/>
            <w:gridSpan w:val="2"/>
            <w:tcBorders>
              <w:bottom w:val="single" w:color="auto" w:sz="4" w:space="0"/>
            </w:tcBorders>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w:t>
            </w:r>
          </w:p>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的组成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装订成册</w:t>
            </w:r>
            <w:r>
              <w:rPr>
                <w:rFonts w:hint="eastAsia" w:ascii="仿宋_GB2312" w:hAnsi="仿宋_GB2312" w:eastAsia="仿宋_GB2312" w:cs="仿宋_GB2312"/>
                <w:sz w:val="24"/>
                <w:szCs w:val="24"/>
                <w:lang w:eastAsia="zh-CN"/>
              </w:rPr>
              <w:t>）</w:t>
            </w:r>
          </w:p>
        </w:tc>
        <w:tc>
          <w:tcPr>
            <w:tcW w:w="6300" w:type="dxa"/>
            <w:tcBorders>
              <w:bottom w:val="single" w:color="auto" w:sz="4" w:space="0"/>
            </w:tcBorders>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一、第一信封（投标人资质要求，车辆参数配置表）</w:t>
            </w:r>
            <w:r>
              <w:rPr>
                <w:rFonts w:hint="eastAsia" w:ascii="仿宋_GB2312" w:hAnsi="仿宋_GB2312" w:eastAsia="仿宋_GB2312" w:cs="仿宋_GB2312"/>
                <w:sz w:val="24"/>
                <w:szCs w:val="24"/>
              </w:rPr>
              <w:t>：</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、法定代表人身份证明或附有法定代表人身份证明的授权委托书</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、资质审查资料</w:t>
            </w:r>
          </w:p>
          <w:p>
            <w:pPr>
              <w:pStyle w:val="4"/>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3车辆参数配置表</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、报价人须知前附表规定的其他材料</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文件补遗书（如果有）</w:t>
            </w:r>
          </w:p>
          <w:p>
            <w:pPr>
              <w:pStyle w:val="4"/>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二、第二信封（投标报价文件）</w:t>
            </w:r>
          </w:p>
          <w:p>
            <w:pPr>
              <w:pStyle w:val="4"/>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1620" w:type="dxa"/>
            <w:gridSpan w:val="2"/>
            <w:vAlign w:val="center"/>
          </w:tcPr>
          <w:p>
            <w:pPr>
              <w:pStyle w:val="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报价有效期</w:t>
            </w:r>
          </w:p>
        </w:tc>
        <w:tc>
          <w:tcPr>
            <w:tcW w:w="6300" w:type="dxa"/>
            <w:vAlign w:val="center"/>
          </w:tcPr>
          <w:p>
            <w:pPr>
              <w:pStyle w:val="4"/>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1620" w:type="dxa"/>
            <w:gridSpan w:val="2"/>
            <w:vAlign w:val="center"/>
          </w:tcPr>
          <w:p>
            <w:pPr>
              <w:pStyle w:val="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报价担保金</w:t>
            </w:r>
          </w:p>
        </w:tc>
        <w:tc>
          <w:tcPr>
            <w:tcW w:w="6300" w:type="dxa"/>
            <w:vAlign w:val="top"/>
          </w:tcPr>
          <w:p>
            <w:pPr>
              <w:pStyle w:val="4"/>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620" w:type="dxa"/>
            <w:gridSpan w:val="2"/>
            <w:vAlign w:val="center"/>
          </w:tcPr>
          <w:p>
            <w:pPr>
              <w:pStyle w:val="4"/>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报价文件份数</w:t>
            </w:r>
          </w:p>
        </w:tc>
        <w:tc>
          <w:tcPr>
            <w:tcW w:w="6300" w:type="dxa"/>
            <w:vAlign w:val="center"/>
          </w:tcPr>
          <w:p>
            <w:pPr>
              <w:pStyle w:val="4"/>
              <w:snapToGrid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w:t>
            </w:r>
          </w:p>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上写明</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一、外层总封套（内装第一信封、第二信封）</w:t>
            </w:r>
            <w:r>
              <w:rPr>
                <w:rFonts w:hint="eastAsia" w:ascii="仿宋_GB2312" w:hAnsi="仿宋_GB2312" w:eastAsia="仿宋_GB2312" w:cs="仿宋_GB2312"/>
                <w:sz w:val="24"/>
                <w:szCs w:val="24"/>
              </w:rPr>
              <w:t>应写明：</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招标项目</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u w:val="single"/>
              </w:rPr>
              <w:t xml:space="preserve"> 201</w:t>
            </w:r>
            <w:r>
              <w:rPr>
                <w:rFonts w:hint="eastAsia" w:ascii="仿宋_GB2312" w:hAnsi="仿宋_GB2312" w:eastAsia="仿宋_GB2312" w:cs="仿宋_GB2312"/>
                <w:sz w:val="24"/>
                <w:szCs w:val="24"/>
                <w:u w:val="single"/>
                <w:lang w:val="en-US" w:eastAsia="zh-CN"/>
              </w:rPr>
              <w:t>9</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23</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时</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分前不得开启</w:t>
            </w:r>
          </w:p>
          <w:p>
            <w:pPr>
              <w:pStyle w:val="4"/>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外层总</w:t>
            </w:r>
            <w:r>
              <w:rPr>
                <w:rFonts w:hint="eastAsia" w:ascii="仿宋_GB2312" w:hAnsi="仿宋_GB2312" w:eastAsia="仿宋_GB2312" w:cs="仿宋_GB2312"/>
                <w:b/>
                <w:bCs/>
                <w:sz w:val="24"/>
                <w:szCs w:val="24"/>
              </w:rPr>
              <w:t>封套上不能有任何报价人的识别标志。</w:t>
            </w:r>
          </w:p>
          <w:p>
            <w:pPr>
              <w:pStyle w:val="4"/>
              <w:numPr>
                <w:ilvl w:val="0"/>
                <w:numId w:val="4"/>
              </w:numPr>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内层封套</w:t>
            </w:r>
            <w:bookmarkStart w:id="12" w:name="_GoBack"/>
            <w:bookmarkEnd w:id="12"/>
          </w:p>
          <w:p>
            <w:pPr>
              <w:pStyle w:val="4"/>
              <w:numPr>
                <w:ilvl w:val="0"/>
                <w:numId w:val="5"/>
              </w:numPr>
              <w:spacing w:line="400" w:lineRule="exact"/>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 xml:space="preserve">、第一信封封套  </w:t>
            </w:r>
          </w:p>
          <w:p>
            <w:pPr>
              <w:pStyle w:val="4"/>
              <w:numPr>
                <w:ilvl w:val="0"/>
                <w:numId w:val="0"/>
              </w:numPr>
              <w:spacing w:line="400" w:lineRule="exac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lang w:val="en-US" w:eastAsia="zh-CN"/>
              </w:rPr>
              <w:t>项目全称：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资质审查资料，车辆参数配置表</w:t>
            </w:r>
            <w:r>
              <w:rPr>
                <w:rFonts w:hint="eastAsia" w:ascii="仿宋_GB2312" w:hAnsi="仿宋_GB2312" w:eastAsia="仿宋_GB2312" w:cs="仿宋_GB2312"/>
                <w:sz w:val="24"/>
                <w:szCs w:val="24"/>
                <w:u w:val="none"/>
                <w:lang w:eastAsia="zh-CN"/>
              </w:rPr>
              <w:t>）</w:t>
            </w:r>
          </w:p>
          <w:p>
            <w:pPr>
              <w:pStyle w:val="4"/>
              <w:numPr>
                <w:ilvl w:val="0"/>
                <w:numId w:val="0"/>
              </w:numPr>
              <w:spacing w:line="400" w:lineRule="exact"/>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投标人名称：</w:t>
            </w:r>
            <w:r>
              <w:rPr>
                <w:rFonts w:hint="eastAsia" w:ascii="仿宋_GB2312" w:hAnsi="仿宋_GB2312" w:eastAsia="仿宋_GB2312" w:cs="仿宋_GB2312"/>
                <w:sz w:val="24"/>
                <w:szCs w:val="24"/>
                <w:u w:val="single"/>
              </w:rPr>
              <w:t xml:space="preserve">                 </w:t>
            </w:r>
          </w:p>
          <w:p>
            <w:pPr>
              <w:pStyle w:val="4"/>
              <w:numPr>
                <w:ilvl w:val="0"/>
                <w:numId w:val="5"/>
              </w:numPr>
              <w:spacing w:line="4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、第二信封封套</w:t>
            </w:r>
          </w:p>
          <w:p>
            <w:pPr>
              <w:pStyle w:val="4"/>
              <w:numPr>
                <w:ilvl w:val="0"/>
                <w:numId w:val="0"/>
              </w:numPr>
              <w:spacing w:line="400" w:lineRule="exact"/>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lang w:val="en-US" w:eastAsia="zh-CN"/>
              </w:rPr>
              <w:t>项目全称：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投标报价文件</w:t>
            </w:r>
            <w:r>
              <w:rPr>
                <w:rFonts w:hint="eastAsia" w:ascii="仿宋_GB2312" w:hAnsi="仿宋_GB2312" w:eastAsia="仿宋_GB2312" w:cs="仿宋_GB2312"/>
                <w:sz w:val="24"/>
                <w:szCs w:val="24"/>
                <w:u w:val="none"/>
                <w:lang w:eastAsia="zh-CN"/>
              </w:rPr>
              <w:t>）</w:t>
            </w:r>
          </w:p>
          <w:p>
            <w:pPr>
              <w:pStyle w:val="4"/>
              <w:numPr>
                <w:ilvl w:val="0"/>
                <w:numId w:val="0"/>
              </w:numPr>
              <w:spacing w:line="400" w:lineRule="exact"/>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投标人名称：</w:t>
            </w:r>
            <w:r>
              <w:rPr>
                <w:rFonts w:hint="eastAsia" w:ascii="仿宋_GB2312" w:hAnsi="仿宋_GB2312" w:eastAsia="仿宋_GB2312" w:cs="仿宋_GB2312"/>
                <w:sz w:val="24"/>
                <w:szCs w:val="24"/>
                <w:u w:val="single"/>
              </w:rPr>
              <w:t xml:space="preserve">                 </w:t>
            </w:r>
          </w:p>
          <w:p>
            <w:pPr>
              <w:pStyle w:val="4"/>
              <w:spacing w:line="4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报价文件未按</w:t>
            </w:r>
            <w:r>
              <w:rPr>
                <w:rFonts w:hint="eastAsia" w:ascii="仿宋_GB2312" w:hAnsi="仿宋_GB2312" w:eastAsia="仿宋_GB2312" w:cs="仿宋_GB2312"/>
                <w:b/>
                <w:sz w:val="24"/>
                <w:szCs w:val="24"/>
                <w:lang w:val="en-US" w:eastAsia="zh-CN"/>
              </w:rPr>
              <w:t>比选</w:t>
            </w:r>
            <w:r>
              <w:rPr>
                <w:rFonts w:hint="eastAsia" w:ascii="仿宋_GB2312" w:hAnsi="仿宋_GB2312" w:eastAsia="仿宋_GB2312" w:cs="仿宋_GB2312"/>
                <w:b/>
                <w:sz w:val="24"/>
                <w:szCs w:val="24"/>
              </w:rPr>
              <w:t>文件要求密封的，</w:t>
            </w:r>
            <w:r>
              <w:rPr>
                <w:rFonts w:hint="eastAsia" w:ascii="仿宋_GB2312" w:hAnsi="仿宋_GB2312" w:eastAsia="仿宋_GB2312" w:cs="仿宋_GB2312"/>
                <w:b/>
                <w:sz w:val="24"/>
                <w:szCs w:val="24"/>
                <w:lang w:val="en-US" w:eastAsia="zh-CN"/>
              </w:rPr>
              <w:t>招标</w:t>
            </w:r>
            <w:r>
              <w:rPr>
                <w:rFonts w:hint="eastAsia" w:ascii="仿宋_GB2312" w:hAnsi="仿宋_GB2312" w:eastAsia="仿宋_GB2312" w:cs="仿宋_GB2312"/>
                <w:b/>
                <w:sz w:val="24"/>
                <w:szCs w:val="24"/>
              </w:rPr>
              <w:t>人将不予受理。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是否退还</w:t>
            </w:r>
          </w:p>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报价文件</w:t>
            </w:r>
          </w:p>
        </w:tc>
        <w:tc>
          <w:tcPr>
            <w:tcW w:w="6300" w:type="dxa"/>
            <w:vAlign w:val="center"/>
          </w:tcPr>
          <w:p>
            <w:pPr>
              <w:pStyle w:val="4"/>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当投标人少于3个（不含3个）将不予开标，原封退还。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通知推迟递交投标文件截止时间或变更递交投标文件地点（如果有）</w:t>
            </w:r>
          </w:p>
        </w:tc>
        <w:tc>
          <w:tcPr>
            <w:tcW w:w="6300" w:type="dxa"/>
            <w:vAlign w:val="center"/>
          </w:tcPr>
          <w:p>
            <w:pPr>
              <w:pStyle w:val="3"/>
              <w:adjustRightInd w:val="0"/>
              <w:snapToGrid w:val="0"/>
              <w:spacing w:line="360" w:lineRule="exact"/>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spacing w:val="-6"/>
                <w:sz w:val="24"/>
                <w:szCs w:val="24"/>
              </w:rPr>
              <w:t>原定截止时间</w:t>
            </w:r>
            <w:r>
              <w:rPr>
                <w:rFonts w:hint="eastAsia" w:ascii="仿宋_GB2312" w:hAnsi="仿宋_GB2312" w:eastAsia="仿宋_GB2312" w:cs="仿宋_GB2312"/>
                <w:b w:val="0"/>
                <w:spacing w:val="-6"/>
                <w:sz w:val="24"/>
                <w:szCs w:val="24"/>
                <w:u w:val="single"/>
              </w:rPr>
              <w:t xml:space="preserve"> </w:t>
            </w:r>
            <w:r>
              <w:rPr>
                <w:rFonts w:hint="eastAsia" w:ascii="仿宋_GB2312" w:hAnsi="仿宋_GB2312" w:eastAsia="仿宋_GB2312" w:cs="仿宋_GB2312"/>
                <w:b w:val="0"/>
                <w:spacing w:val="-6"/>
                <w:sz w:val="24"/>
                <w:szCs w:val="24"/>
                <w:u w:val="single"/>
                <w:lang w:val="en-US" w:eastAsia="zh-CN"/>
              </w:rPr>
              <w:t>2</w:t>
            </w:r>
            <w:r>
              <w:rPr>
                <w:rFonts w:hint="eastAsia" w:ascii="仿宋_GB2312" w:hAnsi="仿宋_GB2312" w:eastAsia="仿宋_GB2312" w:cs="仿宋_GB2312"/>
                <w:b w:val="0"/>
                <w:spacing w:val="-6"/>
                <w:sz w:val="24"/>
                <w:szCs w:val="24"/>
              </w:rPr>
              <w:t>天前，招标人将以通知形式对递交投标文件的时间和地点的变更告知各投标人，通知公布在</w:t>
            </w:r>
            <w:r>
              <w:rPr>
                <w:rFonts w:hint="eastAsia" w:ascii="仿宋_GB2312" w:hAnsi="仿宋_GB2312" w:eastAsia="仿宋_GB2312" w:cs="仿宋_GB2312"/>
                <w:b w:val="0"/>
                <w:spacing w:val="-6"/>
                <w:sz w:val="24"/>
                <w:szCs w:val="24"/>
                <w:lang w:val="en-US" w:eastAsia="zh-CN"/>
              </w:rPr>
              <w:t>四川成乐高速公路</w:t>
            </w:r>
            <w:r>
              <w:rPr>
                <w:rFonts w:hint="eastAsia" w:ascii="仿宋_GB2312" w:hAnsi="仿宋_GB2312" w:eastAsia="仿宋_GB2312" w:cs="仿宋_GB2312"/>
                <w:b w:val="0"/>
                <w:spacing w:val="-6"/>
                <w:sz w:val="24"/>
                <w:szCs w:val="24"/>
              </w:rPr>
              <w:t>有限责任公司</w:t>
            </w:r>
            <w:r>
              <w:rPr>
                <w:rFonts w:hint="eastAsia" w:ascii="仿宋_GB2312" w:hAnsi="仿宋_GB2312" w:eastAsia="仿宋_GB2312" w:cs="仿宋_GB2312"/>
                <w:b w:val="0"/>
                <w:spacing w:val="-6"/>
                <w:sz w:val="24"/>
                <w:szCs w:val="24"/>
                <w:lang w:val="en-US" w:eastAsia="zh-CN"/>
              </w:rPr>
              <w:t>运营管理分公司</w:t>
            </w:r>
            <w:r>
              <w:rPr>
                <w:rFonts w:hint="eastAsia" w:ascii="仿宋_GB2312" w:hAnsi="仿宋_GB2312" w:eastAsia="仿宋_GB2312" w:cs="仿宋_GB2312"/>
                <w:b w:val="0"/>
                <w:spacing w:val="-6"/>
                <w:sz w:val="24"/>
                <w:szCs w:val="24"/>
              </w:rPr>
              <w:t>网站</w:t>
            </w:r>
            <w:r>
              <w:rPr>
                <w:rFonts w:hint="eastAsia" w:ascii="仿宋_GB2312" w:hAnsi="仿宋_GB2312" w:eastAsia="仿宋_GB2312" w:cs="仿宋_GB2312"/>
                <w:b w:val="0"/>
                <w:spacing w:val="-6"/>
                <w:sz w:val="24"/>
                <w:szCs w:val="24"/>
                <w:u w:val="single"/>
              </w:rPr>
              <w:t>（</w:t>
            </w:r>
            <w:r>
              <w:rPr>
                <w:rFonts w:hint="eastAsia" w:ascii="仿宋_GB2312" w:hAnsi="仿宋_GB2312" w:eastAsia="仿宋_GB2312" w:cs="仿宋_GB2312"/>
                <w:b w:val="0"/>
                <w:bCs/>
                <w:sz w:val="24"/>
                <w:szCs w:val="24"/>
                <w:lang w:val="en-US" w:eastAsia="zh-CN"/>
              </w:rPr>
              <w:t>http://www.scclgsyy.com</w:t>
            </w:r>
            <w:r>
              <w:rPr>
                <w:rFonts w:hint="eastAsia" w:ascii="仿宋_GB2312" w:hAnsi="仿宋_GB2312" w:eastAsia="仿宋_GB2312" w:cs="仿宋_GB2312"/>
                <w:b w:val="0"/>
                <w:spacing w:val="-6"/>
                <w:sz w:val="24"/>
                <w:szCs w:val="24"/>
                <w:u w:val="single"/>
              </w:rPr>
              <w:t>）</w:t>
            </w:r>
            <w:r>
              <w:rPr>
                <w:rFonts w:hint="eastAsia" w:ascii="仿宋_GB2312" w:hAnsi="仿宋_GB2312" w:eastAsia="仿宋_GB2312" w:cs="仿宋_GB2312"/>
                <w:b w:val="0"/>
                <w:spacing w:val="-6"/>
                <w:sz w:val="24"/>
                <w:szCs w:val="24"/>
              </w:rPr>
              <w:t>由投标人自行下</w:t>
            </w:r>
          </w:p>
          <w:p>
            <w:pPr>
              <w:pStyle w:val="3"/>
              <w:adjustRightInd w:val="0"/>
              <w:snapToGrid w:val="0"/>
              <w:spacing w:line="3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b w:val="0"/>
                <w:spacing w:val="-6"/>
                <w:sz w:val="24"/>
                <w:szCs w:val="24"/>
              </w:rPr>
              <w:t>载。</w:t>
            </w:r>
            <w:r>
              <w:rPr>
                <w:rFonts w:hint="eastAsia" w:ascii="仿宋_GB2312" w:hAnsi="仿宋_GB2312" w:eastAsia="仿宋_GB2312" w:cs="仿宋_GB2312"/>
                <w:b w:val="0"/>
                <w:bCs/>
                <w:spacing w:val="-10"/>
                <w:sz w:val="24"/>
                <w:szCs w:val="24"/>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投标人收到通知后，不再向招标人发出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开标时间和地点</w:t>
            </w:r>
          </w:p>
        </w:tc>
        <w:tc>
          <w:tcPr>
            <w:tcW w:w="6300" w:type="dxa"/>
            <w:vAlign w:val="center"/>
          </w:tcPr>
          <w:p>
            <w:pPr>
              <w:pStyle w:val="4"/>
              <w:snapToGrid w:val="0"/>
              <w:spacing w:line="360" w:lineRule="exact"/>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第一信封开标时间及地点：同招标公告</w:t>
            </w:r>
          </w:p>
          <w:p>
            <w:pPr>
              <w:pStyle w:val="3"/>
              <w:adjustRightInd w:val="0"/>
              <w:snapToGrid w:val="0"/>
              <w:spacing w:line="360" w:lineRule="exact"/>
              <w:jc w:val="both"/>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bCs/>
                <w:spacing w:val="-10"/>
                <w:sz w:val="24"/>
                <w:szCs w:val="24"/>
              </w:rPr>
              <w:t>第二信封开标</w:t>
            </w:r>
            <w:r>
              <w:rPr>
                <w:rFonts w:hint="eastAsia" w:ascii="仿宋_GB2312" w:hAnsi="仿宋_GB2312" w:eastAsia="仿宋_GB2312" w:cs="仿宋_GB2312"/>
                <w:b w:val="0"/>
                <w:bCs/>
                <w:spacing w:val="-10"/>
                <w:sz w:val="24"/>
                <w:szCs w:val="24"/>
                <w:lang w:val="en-US" w:eastAsia="zh-CN"/>
              </w:rPr>
              <w:t>详情见5.4</w:t>
            </w:r>
            <w:r>
              <w:rPr>
                <w:rFonts w:hint="eastAsia" w:ascii="仿宋_GB2312" w:hAnsi="仿宋_GB2312" w:eastAsia="仿宋_GB2312" w:cs="仿宋_GB2312"/>
                <w:b w:val="0"/>
                <w:bCs/>
                <w:spacing w:val="-1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开标程序</w:t>
            </w:r>
          </w:p>
        </w:tc>
        <w:tc>
          <w:tcPr>
            <w:tcW w:w="6300" w:type="dxa"/>
            <w:vAlign w:val="center"/>
          </w:tcPr>
          <w:p>
            <w:pPr>
              <w:pStyle w:val="4"/>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w:t>
            </w:r>
            <w:r>
              <w:rPr>
                <w:rFonts w:hint="eastAsia" w:ascii="仿宋_GB2312" w:hAnsi="仿宋_GB2312" w:eastAsia="仿宋_GB2312" w:cs="仿宋_GB2312"/>
                <w:b w:val="0"/>
                <w:bCs w:val="0"/>
                <w:spacing w:val="-10"/>
                <w:sz w:val="24"/>
                <w:szCs w:val="24"/>
                <w:lang w:val="en-US" w:eastAsia="zh-CN"/>
              </w:rPr>
              <w:t>1</w:t>
            </w:r>
            <w:r>
              <w:rPr>
                <w:rFonts w:hint="eastAsia" w:ascii="仿宋_GB2312" w:hAnsi="仿宋_GB2312" w:eastAsia="仿宋_GB2312" w:cs="仿宋_GB2312"/>
                <w:b w:val="0"/>
                <w:bCs w:val="0"/>
                <w:spacing w:val="-10"/>
                <w:sz w:val="24"/>
                <w:szCs w:val="24"/>
              </w:rPr>
              <w:t>）密封情况检查：由投标人代表检查投标文件外包封的密封情况，并当场予以确认；当投标文件外包封未按第4.1.款密封时，将当场确认，不予开标，原封退还。</w:t>
            </w:r>
          </w:p>
          <w:p>
            <w:pPr>
              <w:pStyle w:val="3"/>
              <w:adjustRightInd w:val="0"/>
              <w:snapToGrid w:val="0"/>
              <w:spacing w:line="360" w:lineRule="exact"/>
              <w:jc w:val="both"/>
              <w:rPr>
                <w:rFonts w:hint="eastAsia" w:ascii="仿宋_GB2312" w:hAnsi="仿宋_GB2312" w:eastAsia="仿宋_GB2312" w:cs="仿宋_GB2312"/>
                <w:b w:val="0"/>
                <w:spacing w:val="-6"/>
                <w:sz w:val="24"/>
                <w:szCs w:val="24"/>
              </w:rPr>
            </w:pPr>
            <w:r>
              <w:rPr>
                <w:rFonts w:hint="eastAsia" w:ascii="仿宋_GB2312" w:hAnsi="仿宋_GB2312" w:eastAsia="仿宋_GB2312" w:cs="仿宋_GB2312"/>
                <w:b w:val="0"/>
                <w:bCs w:val="0"/>
                <w:spacing w:val="-10"/>
                <w:sz w:val="24"/>
                <w:szCs w:val="24"/>
              </w:rPr>
              <w:t>（</w:t>
            </w:r>
            <w:r>
              <w:rPr>
                <w:rFonts w:hint="eastAsia" w:ascii="仿宋_GB2312" w:hAnsi="仿宋_GB2312" w:eastAsia="仿宋_GB2312" w:cs="仿宋_GB2312"/>
                <w:b w:val="0"/>
                <w:bCs w:val="0"/>
                <w:spacing w:val="-10"/>
                <w:sz w:val="24"/>
                <w:szCs w:val="24"/>
                <w:lang w:val="en-US" w:eastAsia="zh-CN"/>
              </w:rPr>
              <w:t>2</w:t>
            </w:r>
            <w:r>
              <w:rPr>
                <w:rFonts w:hint="eastAsia" w:ascii="仿宋_GB2312" w:hAnsi="仿宋_GB2312" w:eastAsia="仿宋_GB2312" w:cs="仿宋_GB2312"/>
                <w:b w:val="0"/>
                <w:bCs w:val="0"/>
                <w:spacing w:val="-10"/>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开标现场出现不符合情况</w:t>
            </w:r>
          </w:p>
        </w:tc>
        <w:tc>
          <w:tcPr>
            <w:tcW w:w="6300" w:type="dxa"/>
            <w:vAlign w:val="center"/>
          </w:tcPr>
          <w:p>
            <w:pPr>
              <w:pStyle w:val="4"/>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开标过程中，若招标人发现投标文件出现以下任一情况，经确认后当场在开标记录表中予以记录：</w:t>
            </w:r>
          </w:p>
          <w:p>
            <w:pPr>
              <w:snapToGrid w:val="0"/>
              <w:spacing w:line="360" w:lineRule="exact"/>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(1)在第一信封上出现投标报价；</w:t>
            </w:r>
          </w:p>
          <w:p>
            <w:pPr>
              <w:pStyle w:val="3"/>
              <w:adjustRightInd w:val="0"/>
              <w:snapToGrid w:val="0"/>
              <w:spacing w:line="360" w:lineRule="exact"/>
              <w:jc w:val="both"/>
              <w:rPr>
                <w:rFonts w:hint="eastAsia" w:ascii="仿宋_GB2312" w:hAnsi="仿宋_GB2312" w:eastAsia="仿宋_GB2312" w:cs="仿宋_GB2312"/>
                <w:b w:val="0"/>
                <w:bCs w:val="0"/>
                <w:spacing w:val="-10"/>
                <w:sz w:val="24"/>
                <w:szCs w:val="24"/>
              </w:rPr>
            </w:pPr>
            <w:r>
              <w:rPr>
                <w:rFonts w:hint="eastAsia" w:ascii="仿宋_GB2312" w:hAnsi="仿宋_GB2312" w:eastAsia="仿宋_GB2312" w:cs="仿宋_GB2312"/>
                <w:b w:val="0"/>
                <w:bCs w:val="0"/>
                <w:spacing w:val="-10"/>
                <w:sz w:val="24"/>
                <w:szCs w:val="24"/>
              </w:rPr>
              <w:t>(2)外层封套上标注的项目名称与内装投标文件所投项目名称不一致。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第二信封开标程序</w:t>
            </w:r>
          </w:p>
        </w:tc>
        <w:tc>
          <w:tcPr>
            <w:tcW w:w="6300" w:type="dxa"/>
            <w:vAlign w:val="center"/>
          </w:tcPr>
          <w:p>
            <w:pPr>
              <w:snapToGrid w:val="0"/>
              <w:spacing w:line="3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招标人</w:t>
            </w:r>
            <w:r>
              <w:rPr>
                <w:rFonts w:hint="eastAsia" w:ascii="仿宋_GB2312" w:hAnsi="仿宋_GB2312" w:eastAsia="仿宋_GB2312" w:cs="仿宋_GB2312"/>
                <w:sz w:val="24"/>
                <w:szCs w:val="24"/>
                <w:lang w:val="en-US" w:eastAsia="zh-CN"/>
              </w:rPr>
              <w:t>在收取投标人投标文件后，投标人在外等待。第一信封审查后</w:t>
            </w:r>
            <w:r>
              <w:rPr>
                <w:rFonts w:hint="eastAsia" w:ascii="仿宋_GB2312" w:hAnsi="仿宋_GB2312" w:eastAsia="仿宋_GB2312" w:cs="仿宋_GB2312"/>
                <w:sz w:val="24"/>
                <w:szCs w:val="24"/>
              </w:rPr>
              <w:t>将通知</w:t>
            </w:r>
            <w:r>
              <w:rPr>
                <w:rFonts w:hint="eastAsia" w:ascii="仿宋_GB2312" w:hAnsi="仿宋_GB2312" w:eastAsia="仿宋_GB2312" w:cs="仿宋_GB2312"/>
                <w:sz w:val="24"/>
                <w:szCs w:val="24"/>
                <w:lang w:val="en-US" w:eastAsia="zh-CN"/>
              </w:rPr>
              <w:t>第一信封审查合格</w:t>
            </w:r>
            <w:r>
              <w:rPr>
                <w:rFonts w:hint="eastAsia" w:ascii="仿宋_GB2312" w:hAnsi="仿宋_GB2312" w:eastAsia="仿宋_GB2312" w:cs="仿宋_GB2312"/>
                <w:sz w:val="24"/>
                <w:szCs w:val="24"/>
              </w:rPr>
              <w:t>投标人参加第二信封开标会，招标人在第二次开标会上宣布进入第二信封评审的投标人名单，当场开启其第二信封（投标报价文件）并宣读其报价，投标人应对第二信封开标情况签字确认。未进入第二信封评审的其他投标人的第二信封不予开封，当场退还给投标人。因故未能出席第二次开标会的投标人，招标人将认为投标人默认开标结果，投标人的第二信封也不予退还。</w:t>
            </w:r>
          </w:p>
          <w:p>
            <w:pPr>
              <w:pStyle w:val="3"/>
              <w:adjustRightInd w:val="0"/>
              <w:snapToGrid w:val="0"/>
              <w:spacing w:line="360" w:lineRule="exact"/>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b w:val="0"/>
                <w:bCs/>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评标方法</w:t>
            </w:r>
          </w:p>
        </w:tc>
        <w:tc>
          <w:tcPr>
            <w:tcW w:w="6300" w:type="dxa"/>
            <w:vAlign w:val="center"/>
          </w:tcPr>
          <w:p>
            <w:pPr>
              <w:pStyle w:val="3"/>
              <w:adjustRightInd w:val="0"/>
              <w:snapToGrid w:val="0"/>
              <w:spacing w:line="360" w:lineRule="exact"/>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themeColor="text1"/>
                <w:sz w:val="24"/>
                <w:szCs w:val="24"/>
                <w14:textFill>
                  <w14:solidFill>
                    <w14:schemeClr w14:val="tx1"/>
                  </w14:solidFill>
                </w14:textFill>
              </w:rPr>
              <w:t>本次招标采用资格后审，评标采用经评审的最低投标价法，双信封形式。详见第三章评标办法。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1620" w:type="dxa"/>
            <w:gridSpan w:val="2"/>
            <w:vAlign w:val="center"/>
          </w:tcPr>
          <w:p>
            <w:pPr>
              <w:pStyle w:val="4"/>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定标方式</w:t>
            </w:r>
          </w:p>
        </w:tc>
        <w:tc>
          <w:tcPr>
            <w:tcW w:w="6300" w:type="dxa"/>
            <w:vAlign w:val="center"/>
          </w:tcPr>
          <w:p>
            <w:pPr>
              <w:adjustRightInd w:val="0"/>
              <w:snapToGrid w:val="0"/>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中标候选人数：3名（若</w:t>
            </w:r>
            <w:r>
              <w:rPr>
                <w:rFonts w:hint="eastAsia" w:ascii="仿宋_GB2312" w:hAnsi="仿宋_GB2312" w:eastAsia="仿宋_GB2312" w:cs="仿宋_GB2312"/>
                <w:b w:val="0"/>
                <w:bCs w:val="0"/>
                <w:sz w:val="24"/>
                <w:szCs w:val="24"/>
                <w:lang w:val="en-US" w:eastAsia="zh-CN"/>
              </w:rPr>
              <w:t>第一信封审查合格投标人</w:t>
            </w:r>
            <w:r>
              <w:rPr>
                <w:rFonts w:hint="eastAsia" w:ascii="仿宋_GB2312" w:hAnsi="仿宋_GB2312" w:eastAsia="仿宋_GB2312" w:cs="仿宋_GB2312"/>
                <w:b w:val="0"/>
                <w:bCs w:val="0"/>
                <w:sz w:val="24"/>
                <w:szCs w:val="24"/>
              </w:rPr>
              <w:t>不足3名，则按相应数量推荐）。</w:t>
            </w:r>
          </w:p>
          <w:p>
            <w:pPr>
              <w:adjustRightInd w:val="0"/>
              <w:snapToGrid w:val="0"/>
              <w:spacing w:line="360" w:lineRule="exac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（2）招标人将依据</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的中标候选人，确定排名第一的中标候选人为中标人。</w:t>
            </w:r>
          </w:p>
          <w:p>
            <w:pPr>
              <w:pStyle w:val="3"/>
              <w:adjustRightInd w:val="0"/>
              <w:snapToGrid w:val="0"/>
              <w:spacing w:line="360" w:lineRule="exact"/>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）排名第一的中标候选人放弃中标；或不能履行合同；或不按照招标文件要求提交履约担保；或被查实存在影响中标结果的违法行为等情形不符合中标条件的，招标人可以按照</w:t>
            </w:r>
            <w:r>
              <w:rPr>
                <w:rFonts w:hint="eastAsia" w:ascii="仿宋_GB2312" w:hAnsi="仿宋_GB2312" w:eastAsia="仿宋_GB2312" w:cs="仿宋_GB2312"/>
                <w:b w:val="0"/>
                <w:bCs w:val="0"/>
                <w:sz w:val="24"/>
                <w:szCs w:val="24"/>
                <w:lang w:val="en-US" w:eastAsia="zh-CN"/>
              </w:rPr>
              <w:t>经评审</w:t>
            </w:r>
            <w:r>
              <w:rPr>
                <w:rFonts w:hint="eastAsia" w:ascii="仿宋_GB2312" w:hAnsi="仿宋_GB2312" w:eastAsia="仿宋_GB2312" w:cs="仿宋_GB2312"/>
                <w:b w:val="0"/>
                <w:bCs w:val="0"/>
                <w:sz w:val="24"/>
                <w:szCs w:val="24"/>
              </w:rPr>
              <w:t>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w:t>
            </w:r>
          </w:p>
        </w:tc>
        <w:tc>
          <w:tcPr>
            <w:tcW w:w="1620" w:type="dxa"/>
            <w:gridSpan w:val="2"/>
            <w:vAlign w:val="center"/>
          </w:tcPr>
          <w:p>
            <w:pPr>
              <w:pStyle w:val="12"/>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低于成本价不正当竞争预防措施</w:t>
            </w:r>
          </w:p>
          <w:p>
            <w:pPr>
              <w:pStyle w:val="12"/>
              <w:spacing w:line="400" w:lineRule="exact"/>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（实质性要求）</w:t>
            </w:r>
          </w:p>
        </w:tc>
        <w:tc>
          <w:tcPr>
            <w:tcW w:w="6300" w:type="dxa"/>
            <w:vAlign w:val="center"/>
          </w:tcPr>
          <w:p>
            <w:pPr>
              <w:spacing w:line="4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在评标过程中，投标人报价低于最高限价的80%，且同时低于其他有效投标人报价算术平均价的</w:t>
            </w:r>
            <w:r>
              <w:rPr>
                <w:rFonts w:hint="eastAsia" w:ascii="仿宋_GB2312" w:hAnsi="仿宋_GB2312" w:eastAsia="仿宋_GB2312" w:cs="仿宋_GB2312"/>
                <w:b/>
                <w:sz w:val="24"/>
                <w:szCs w:val="24"/>
                <w:lang w:val="en-US" w:eastAsia="zh-CN"/>
              </w:rPr>
              <w:t>85</w:t>
            </w:r>
            <w:r>
              <w:rPr>
                <w:rFonts w:hint="eastAsia" w:ascii="仿宋_GB2312" w:hAnsi="仿宋_GB2312" w:eastAsia="仿宋_GB2312" w:cs="仿宋_GB2312"/>
                <w:b/>
                <w:sz w:val="24"/>
                <w:szCs w:val="24"/>
              </w:rPr>
              <w:t>%，有可能影响</w:t>
            </w:r>
            <w:r>
              <w:rPr>
                <w:rFonts w:hint="eastAsia" w:ascii="仿宋_GB2312" w:hAnsi="仿宋_GB2312" w:eastAsia="仿宋_GB2312" w:cs="仿宋_GB2312"/>
                <w:b/>
                <w:sz w:val="24"/>
                <w:szCs w:val="24"/>
                <w:lang w:val="en-US" w:eastAsia="zh-CN"/>
              </w:rPr>
              <w:t>车辆</w:t>
            </w:r>
            <w:r>
              <w:rPr>
                <w:rFonts w:hint="eastAsia" w:ascii="仿宋_GB2312" w:hAnsi="仿宋_GB2312" w:eastAsia="仿宋_GB2312" w:cs="仿宋_GB2312"/>
                <w:b/>
                <w:sz w:val="24"/>
                <w:szCs w:val="24"/>
              </w:rPr>
              <w:t>质量或者不能诚信履约的，评标委员会应当将其</w:t>
            </w:r>
            <w:r>
              <w:rPr>
                <w:rFonts w:hint="eastAsia" w:ascii="仿宋_GB2312" w:hAnsi="仿宋_GB2312" w:eastAsia="仿宋_GB2312" w:cs="仿宋_GB2312"/>
                <w:b/>
                <w:sz w:val="24"/>
                <w:szCs w:val="24"/>
                <w:lang w:val="en-US" w:eastAsia="zh-CN"/>
              </w:rPr>
              <w:t>作为单独评审对象</w:t>
            </w:r>
            <w:r>
              <w:rPr>
                <w:rFonts w:hint="eastAsia" w:ascii="仿宋_GB2312" w:hAnsi="仿宋_GB2312" w:eastAsia="仿宋_GB2312" w:cs="仿宋_GB2312"/>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928" w:type="dxa"/>
            <w:gridSpan w:val="4"/>
            <w:vAlign w:val="center"/>
          </w:tcPr>
          <w:p>
            <w:pPr>
              <w:pStyle w:val="4"/>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368" w:type="dxa"/>
            <w:gridSpan w:val="2"/>
            <w:tcBorders>
              <w:bottom w:val="single" w:color="auto" w:sz="4" w:space="0"/>
            </w:tcBorders>
            <w:vAlign w:val="center"/>
          </w:tcPr>
          <w:p>
            <w:pPr>
              <w:pStyle w:val="4"/>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p>
            <w:pPr>
              <w:pStyle w:val="4"/>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w:t>
            </w:r>
          </w:p>
        </w:tc>
        <w:tc>
          <w:tcPr>
            <w:tcW w:w="7560" w:type="dxa"/>
            <w:gridSpan w:val="2"/>
            <w:tcBorders>
              <w:bottom w:val="single" w:color="auto" w:sz="4" w:space="0"/>
            </w:tcBorders>
            <w:vAlign w:val="center"/>
          </w:tcPr>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（1）除非合同另有规定，报价人所提供的报价均已包括了</w:t>
            </w:r>
            <w:r>
              <w:rPr>
                <w:rFonts w:hint="eastAsia" w:ascii="仿宋_GB2312" w:hAnsi="仿宋_GB2312" w:eastAsia="仿宋_GB2312" w:cs="仿宋_GB2312"/>
                <w:sz w:val="24"/>
                <w:szCs w:val="24"/>
                <w:lang w:val="en-US" w:eastAsia="zh-CN"/>
              </w:rPr>
              <w:t>整车费用、各类税费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w:t>
            </w:r>
            <w:r>
              <w:rPr>
                <w:rFonts w:hint="eastAsia" w:ascii="仿宋_GB2312" w:hAnsi="仿宋_GB2312" w:eastAsia="仿宋_GB2312" w:cs="仿宋_GB2312"/>
                <w:sz w:val="24"/>
                <w:szCs w:val="24"/>
              </w:rPr>
              <w:t>费、利润等费用，以及合同明示或暗示的所有责任、义务和一般风险。</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（2）合同执行期间不调价。</w:t>
            </w:r>
          </w:p>
          <w:p>
            <w:pPr>
              <w:pStyle w:val="4"/>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（3）报价人应按照现行相关定额及编制办法，并结合</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文件要求的实际情况来编制报价文件。</w:t>
            </w:r>
          </w:p>
        </w:tc>
      </w:tr>
    </w:tbl>
    <w:p>
      <w:pPr>
        <w:pStyle w:val="4"/>
        <w:spacing w:line="360" w:lineRule="auto"/>
        <w:ind w:firstLine="420"/>
        <w:jc w:val="center"/>
        <w:outlineLvl w:val="1"/>
        <w:rPr>
          <w:rFonts w:hint="eastAsia" w:ascii="仿宋_GB2312" w:hAnsi="仿宋_GB2312" w:eastAsia="仿宋_GB2312" w:cs="仿宋_GB2312"/>
          <w:b/>
          <w:sz w:val="24"/>
          <w:szCs w:val="24"/>
        </w:rPr>
      </w:pPr>
    </w:p>
    <w:p>
      <w:pPr>
        <w:pStyle w:val="4"/>
        <w:spacing w:line="360" w:lineRule="auto"/>
        <w:jc w:val="center"/>
        <w:outlineLvl w:val="1"/>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附录1资格审查条件（信誉最低要求）</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928" w:type="dxa"/>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7" w:hRule="atLeast"/>
        </w:trPr>
        <w:tc>
          <w:tcPr>
            <w:tcW w:w="8928" w:type="dxa"/>
            <w:vAlign w:val="center"/>
          </w:tcPr>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（1）报价人没有正受到责令停产、停业的行政处罚或正处于财产被接管、冻结，破产的状态；</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（2）报价人没有处于取消报价资格的行政处罚的有效期内；</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（3）报价人没有涉及正在诉讼的案件，或涉及正在诉讼的案件但经评审委员会认定不会对承担本项目造成重大影响；</w:t>
            </w:r>
          </w:p>
          <w:p>
            <w:pPr>
              <w:spacing w:line="3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（4）报价人没有提供虚假材料。</w:t>
            </w:r>
          </w:p>
        </w:tc>
      </w:tr>
    </w:tbl>
    <w:p>
      <w:pPr>
        <w:pStyle w:val="4"/>
        <w:spacing w:line="360" w:lineRule="auto"/>
        <w:outlineLvl w:val="1"/>
        <w:rPr>
          <w:rFonts w:hint="eastAsia" w:ascii="仿宋_GB2312" w:hAnsi="仿宋_GB2312" w:eastAsia="仿宋_GB2312" w:cs="仿宋_GB2312"/>
          <w:b/>
          <w:color w:val="000000"/>
          <w:sz w:val="24"/>
          <w:szCs w:val="24"/>
        </w:rPr>
      </w:pPr>
    </w:p>
    <w:p>
      <w:pPr>
        <w:pStyle w:val="4"/>
        <w:spacing w:line="360" w:lineRule="auto"/>
        <w:ind w:firstLine="479" w:firstLineChars="199"/>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lang w:val="en-US" w:eastAsia="zh-CN"/>
        </w:rPr>
        <w:t xml:space="preserve">    </w:t>
      </w:r>
    </w:p>
    <w:p>
      <w:pPr>
        <w:pStyle w:val="4"/>
        <w:spacing w:line="360" w:lineRule="auto"/>
        <w:ind w:firstLine="477" w:firstLineChars="199"/>
        <w:rPr>
          <w:rFonts w:hint="eastAsia" w:ascii="仿宋_GB2312" w:hAnsi="仿宋_GB2312" w:eastAsia="仿宋_GB2312" w:cs="仿宋_GB2312"/>
          <w:sz w:val="24"/>
          <w:szCs w:val="24"/>
        </w:rPr>
      </w:pPr>
    </w:p>
    <w:p>
      <w:pPr>
        <w:pStyle w:val="2"/>
        <w:keepLines/>
        <w:spacing w:before="340" w:after="330" w:line="360" w:lineRule="auto"/>
        <w:jc w:val="center"/>
        <w:rPr>
          <w:rFonts w:hint="eastAsia" w:ascii="仿宋_GB2312" w:hAnsi="仿宋_GB2312" w:eastAsia="仿宋_GB2312" w:cs="仿宋_GB2312"/>
          <w:b/>
          <w:bCs/>
          <w:color w:val="000000"/>
          <w:kern w:val="44"/>
          <w:sz w:val="24"/>
          <w:szCs w:val="24"/>
          <w:u w:val="none"/>
        </w:rPr>
      </w:pPr>
      <w:r>
        <w:rPr>
          <w:rFonts w:hint="eastAsia" w:ascii="仿宋_GB2312" w:hAnsi="仿宋_GB2312" w:eastAsia="仿宋_GB2312" w:cs="仿宋_GB2312"/>
          <w:b/>
          <w:bCs/>
          <w:color w:val="000000"/>
          <w:kern w:val="44"/>
          <w:sz w:val="24"/>
          <w:szCs w:val="24"/>
          <w:u w:val="none"/>
        </w:rPr>
        <w:t>第三章 评标办法</w:t>
      </w:r>
    </w:p>
    <w:p>
      <w:pPr>
        <w:spacing w:line="360" w:lineRule="auto"/>
        <w:jc w:val="center"/>
        <w:outlineLvl w:val="1"/>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开标及评审</w:t>
      </w:r>
    </w:p>
    <w:p>
      <w:pPr>
        <w:pStyle w:val="4"/>
        <w:spacing w:line="360" w:lineRule="auto"/>
        <w:ind w:firstLine="422"/>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一、接收投标文件</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1、在比选招标文件中规定的时间和地点公开接收投标文件。</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2、工作人员的接收并不代表投标人的投标文件密封完好，投标文件的密封情况应以监督人员或其他代表的最终检查为准。</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3、投标截止后投标人的投标文件概不退还。</w:t>
      </w:r>
    </w:p>
    <w:p>
      <w:pPr>
        <w:pStyle w:val="4"/>
        <w:spacing w:line="360" w:lineRule="auto"/>
        <w:ind w:firstLine="422"/>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二、评标小组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1、本次比选招标依据《中华人民共和国招标投标法》及有关法规由招标人组建评标小组。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2、评标小组依法根据比选招标文件的规定对投标文件进行评审。</w:t>
      </w:r>
    </w:p>
    <w:p>
      <w:pPr>
        <w:pStyle w:val="4"/>
        <w:spacing w:line="360" w:lineRule="auto"/>
        <w:ind w:firstLine="422"/>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三、评审方法</w:t>
      </w:r>
    </w:p>
    <w:p>
      <w:pPr>
        <w:pStyle w:val="4"/>
        <w:spacing w:line="360" w:lineRule="auto"/>
        <w:ind w:firstLine="422"/>
        <w:rPr>
          <w:rFonts w:hint="eastAsia" w:ascii="仿宋_GB2312" w:hAnsi="仿宋_GB2312" w:eastAsia="仿宋_GB2312" w:cs="仿宋_GB2312"/>
          <w:b w:val="0"/>
          <w:bCs/>
          <w:color w:val="000000" w:themeColor="text1"/>
          <w:sz w:val="24"/>
          <w:szCs w:val="24"/>
          <w14:textFill>
            <w14:solidFill>
              <w14:schemeClr w14:val="tx1"/>
            </w14:solidFill>
          </w14:textFill>
        </w:rPr>
      </w:pPr>
      <w:r>
        <w:rPr>
          <w:rFonts w:hint="eastAsia" w:ascii="仿宋_GB2312" w:hAnsi="仿宋_GB2312" w:eastAsia="仿宋_GB2312" w:cs="仿宋_GB2312"/>
          <w:b w:val="0"/>
          <w:bCs/>
          <w:color w:val="000000" w:themeColor="text1"/>
          <w:sz w:val="24"/>
          <w:szCs w:val="24"/>
          <w14:textFill>
            <w14:solidFill>
              <w14:schemeClr w14:val="tx1"/>
            </w14:solidFill>
          </w14:textFill>
        </w:rPr>
        <w:t>本次招标采用资格后审，评标采用经评审的最低投标价法，双信封形式。</w:t>
      </w:r>
    </w:p>
    <w:p>
      <w:pPr>
        <w:pStyle w:val="4"/>
        <w:spacing w:line="360" w:lineRule="auto"/>
        <w:ind w:firstLine="422"/>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四、评审过程</w:t>
      </w:r>
    </w:p>
    <w:p>
      <w:pPr>
        <w:spacing w:line="36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（一）</w:t>
      </w:r>
      <w:r>
        <w:rPr>
          <w:rFonts w:hint="eastAsia" w:ascii="仿宋_GB2312" w:hAnsi="仿宋_GB2312" w:eastAsia="仿宋_GB2312" w:cs="仿宋_GB2312"/>
          <w:b/>
          <w:bCs/>
          <w:color w:val="000000"/>
          <w:sz w:val="24"/>
          <w:szCs w:val="24"/>
          <w:lang w:val="en-US" w:eastAsia="zh-CN"/>
        </w:rPr>
        <w:t>第一信封</w:t>
      </w:r>
      <w:r>
        <w:rPr>
          <w:rFonts w:hint="eastAsia" w:ascii="仿宋_GB2312" w:hAnsi="仿宋_GB2312" w:eastAsia="仿宋_GB2312" w:cs="仿宋_GB2312"/>
          <w:b/>
          <w:bCs/>
          <w:color w:val="000000"/>
          <w:sz w:val="24"/>
          <w:szCs w:val="24"/>
        </w:rPr>
        <w:t>评审</w:t>
      </w:r>
    </w:p>
    <w:p>
      <w:pPr>
        <w:pStyle w:val="4"/>
        <w:adjustRightInd w:val="0"/>
        <w:snapToGrid w:val="0"/>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szCs w:val="24"/>
        </w:rPr>
        <w:t>对投标文件第一信封进行评审只有通过第一信封评审的投标文件才能进入第二信封评审。</w:t>
      </w:r>
      <w:r>
        <w:rPr>
          <w:rFonts w:hint="eastAsia" w:ascii="仿宋_GB2312" w:hAnsi="仿宋_GB2312" w:eastAsia="仿宋_GB2312" w:cs="仿宋_GB2312"/>
          <w:bCs/>
          <w:color w:val="000000"/>
          <w:sz w:val="24"/>
          <w:szCs w:val="24"/>
        </w:rPr>
        <w:t>如投标文件有不符合下列情况之一的，评标小组可认为其存在重大偏差，并对该投标文件作否决处理：</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1．投标文件组成不全的。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2．投标文件未按要求格式填写或盖章，关键内容字迹模糊，无法辨认的。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3．投标文件上法定代表人或法定代表人授权代理人的签字不符合比选招标文件规定的。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4．投标人法定代表人的授权代理人，其授权委托书不符合比选招标文件规定的。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5．投标人对比选招标文件提出的其他重要问题不予响应的。</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6．投标文件中附有招标人不能接受的其他条件。</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7．投标人的资格要求有任一项或多项不满足比选招标文件要求的。</w:t>
      </w:r>
    </w:p>
    <w:p>
      <w:pPr>
        <w:pStyle w:val="4"/>
        <w:spacing w:line="360" w:lineRule="auto"/>
        <w:ind w:firstLine="480" w:firstLineChars="200"/>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8、车辆技术参数不满足车辆基本参数及要求（详情见第四章）</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如果有证据显示投标人以他人名义参与报价、与他人串通报价、以行贿手段谋取中标，以及弄虚作假的，评标小组应对该投标文件作否决处理。投标文件若满足资格审查条件，但在其他方面存在细微偏差，评标小组可要求投标人进行书面澄清和补正，但不对该投标文件作否决处理。</w:t>
      </w:r>
    </w:p>
    <w:p>
      <w:pPr>
        <w:spacing w:line="360" w:lineRule="auto"/>
        <w:ind w:firstLine="482"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（二）</w:t>
      </w:r>
      <w:r>
        <w:rPr>
          <w:rFonts w:hint="eastAsia" w:ascii="仿宋_GB2312" w:hAnsi="仿宋_GB2312" w:eastAsia="仿宋_GB2312" w:cs="仿宋_GB2312"/>
          <w:b/>
          <w:bCs/>
          <w:color w:val="000000"/>
          <w:sz w:val="24"/>
          <w:szCs w:val="24"/>
          <w:lang w:val="en-US" w:eastAsia="zh-CN"/>
        </w:rPr>
        <w:t>第二信封</w:t>
      </w:r>
      <w:r>
        <w:rPr>
          <w:rFonts w:hint="eastAsia" w:ascii="仿宋_GB2312" w:hAnsi="仿宋_GB2312" w:eastAsia="仿宋_GB2312" w:cs="仿宋_GB2312"/>
          <w:b/>
          <w:bCs/>
          <w:color w:val="000000"/>
          <w:sz w:val="24"/>
          <w:szCs w:val="24"/>
        </w:rPr>
        <w:t>评审</w:t>
      </w:r>
      <w:r>
        <w:rPr>
          <w:rFonts w:hint="eastAsia" w:ascii="仿宋_GB2312" w:hAnsi="仿宋_GB2312" w:eastAsia="仿宋_GB2312" w:cs="仿宋_GB2312"/>
          <w:b/>
          <w:bCs/>
          <w:color w:val="000000"/>
          <w:sz w:val="24"/>
          <w:szCs w:val="24"/>
          <w:lang w:val="en-US" w:eastAsia="zh-CN"/>
        </w:rPr>
        <w:t>(最低价评审选取前三名）</w:t>
      </w:r>
    </w:p>
    <w:p>
      <w:pPr>
        <w:pStyle w:val="4"/>
        <w:spacing w:line="360" w:lineRule="auto"/>
        <w:ind w:firstLine="480" w:firstLineChars="200"/>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第一信封评审</w:t>
      </w:r>
      <w:r>
        <w:rPr>
          <w:rFonts w:hint="eastAsia" w:ascii="仿宋_GB2312" w:hAnsi="仿宋_GB2312" w:eastAsia="仿宋_GB2312" w:cs="仿宋_GB2312"/>
          <w:bCs/>
          <w:color w:val="000000"/>
          <w:sz w:val="24"/>
          <w:szCs w:val="24"/>
        </w:rPr>
        <w:t>工作结束后，评标小组</w:t>
      </w:r>
      <w:r>
        <w:rPr>
          <w:rFonts w:hint="eastAsia" w:ascii="仿宋_GB2312" w:hAnsi="仿宋_GB2312" w:eastAsia="仿宋_GB2312" w:cs="仿宋_GB2312"/>
          <w:bCs/>
          <w:color w:val="000000"/>
          <w:sz w:val="24"/>
          <w:szCs w:val="24"/>
          <w:lang w:val="en-US" w:eastAsia="zh-CN"/>
        </w:rPr>
        <w:t>按照最低投标价法对投标人报价</w:t>
      </w:r>
      <w:r>
        <w:rPr>
          <w:rFonts w:hint="eastAsia" w:ascii="仿宋_GB2312" w:hAnsi="仿宋_GB2312" w:eastAsia="仿宋_GB2312" w:cs="仿宋_GB2312"/>
          <w:bCs/>
          <w:color w:val="000000"/>
          <w:sz w:val="24"/>
          <w:szCs w:val="24"/>
        </w:rPr>
        <w:t>进行详细评审</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确定中标人。</w:t>
      </w:r>
    </w:p>
    <w:p>
      <w:pPr>
        <w:pStyle w:val="4"/>
        <w:spacing w:line="360" w:lineRule="auto"/>
        <w:ind w:firstLine="482" w:firstLineChars="200"/>
        <w:rPr>
          <w:rFonts w:hint="eastAsia" w:ascii="仿宋_GB2312" w:hAnsi="仿宋_GB2312" w:eastAsia="仿宋_GB2312" w:cs="仿宋_GB2312"/>
          <w:b/>
          <w:bCs w:val="0"/>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（三）投标文件的澄清和说明</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提供给招标人的投标文件中的资料、内容均应真实可靠，在投标文件评审过程中，如果发现所提交的资料存在细微偏差或含义不明确之处，评标小组有权通过招标人要求投标人做出必要的澄清或补正。对此，投标人不得拒绝。投标人收到澄清后（以发出时间为准），必须在90分钟内以书面形式予以答复，回复内容不得超出比选招标文件的范围或者改变投标文件的实质性内容，投标人澄清函必须加盖投标人单位章或法定代表人或其授权代理人签字认可，投标人的澄清或补正内容作为投标文件的组成部分，评标小组不接受投标人主动提出的澄清。</w:t>
      </w:r>
    </w:p>
    <w:p>
      <w:pPr>
        <w:pStyle w:val="4"/>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投标人不按照上述要求对投标文件进行澄清或补正的，或投标文件存在重大偏差或失实，不能通过评审。</w:t>
      </w:r>
    </w:p>
    <w:p>
      <w:pPr>
        <w:spacing w:line="360" w:lineRule="auto"/>
        <w:ind w:firstLine="482"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
          <w:bCs/>
          <w:color w:val="000000"/>
          <w:sz w:val="24"/>
          <w:szCs w:val="24"/>
        </w:rPr>
        <w:t>（四）投标报价评审</w:t>
      </w:r>
    </w:p>
    <w:p>
      <w:pPr>
        <w:tabs>
          <w:tab w:val="left" w:pos="0"/>
        </w:tabs>
        <w:spacing w:line="360" w:lineRule="auto"/>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投标人的投标报价中，报价超过了招标人规定的最高限价的，评标小组可认为其存在重大偏差，并对该投标文件作否决处理。</w:t>
      </w:r>
    </w:p>
    <w:p>
      <w:pPr>
        <w:spacing w:line="360" w:lineRule="auto"/>
        <w:ind w:firstLine="482" w:firstLineChars="200"/>
        <w:rPr>
          <w:rFonts w:hint="eastAsia" w:ascii="仿宋_GB2312" w:hAnsi="仿宋_GB2312" w:eastAsia="仿宋_GB2312" w:cs="仿宋_GB2312"/>
          <w:b/>
          <w:bCs/>
          <w:color w:val="000000"/>
          <w:sz w:val="24"/>
          <w:szCs w:val="24"/>
        </w:rPr>
      </w:pPr>
    </w:p>
    <w:p>
      <w:pPr>
        <w:spacing w:line="360" w:lineRule="auto"/>
        <w:ind w:firstLine="241" w:firstLineChars="1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（五）推荐中标候选人</w:t>
      </w:r>
    </w:p>
    <w:p>
      <w:pPr>
        <w:tabs>
          <w:tab w:val="left" w:pos="0"/>
        </w:tabs>
        <w:spacing w:line="360" w:lineRule="auto"/>
        <w:ind w:firstLine="480" w:firstLineChars="200"/>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rPr>
        <w:t>评标小组按照</w:t>
      </w:r>
      <w:r>
        <w:rPr>
          <w:rFonts w:hint="eastAsia" w:ascii="仿宋_GB2312" w:hAnsi="仿宋_GB2312" w:eastAsia="仿宋_GB2312" w:cs="仿宋_GB2312"/>
          <w:bCs/>
          <w:color w:val="000000"/>
          <w:sz w:val="24"/>
          <w:szCs w:val="24"/>
          <w:lang w:val="en-US" w:eastAsia="zh-CN"/>
        </w:rPr>
        <w:t>最低价法</w:t>
      </w:r>
      <w:r>
        <w:rPr>
          <w:rFonts w:hint="eastAsia" w:ascii="仿宋_GB2312" w:hAnsi="仿宋_GB2312" w:eastAsia="仿宋_GB2312" w:cs="仿宋_GB2312"/>
          <w:bCs/>
          <w:color w:val="000000"/>
          <w:sz w:val="24"/>
          <w:szCs w:val="24"/>
        </w:rPr>
        <w:t>由</w:t>
      </w:r>
      <w:r>
        <w:rPr>
          <w:rFonts w:hint="eastAsia" w:ascii="仿宋_GB2312" w:hAnsi="仿宋_GB2312" w:eastAsia="仿宋_GB2312" w:cs="仿宋_GB2312"/>
          <w:bCs/>
          <w:color w:val="000000"/>
          <w:sz w:val="24"/>
          <w:szCs w:val="24"/>
          <w:lang w:val="en-US" w:eastAsia="zh-CN"/>
        </w:rPr>
        <w:t>低</w:t>
      </w:r>
      <w:r>
        <w:rPr>
          <w:rFonts w:hint="eastAsia" w:ascii="仿宋_GB2312" w:hAnsi="仿宋_GB2312" w:eastAsia="仿宋_GB2312" w:cs="仿宋_GB2312"/>
          <w:bCs/>
          <w:color w:val="000000"/>
          <w:sz w:val="24"/>
          <w:szCs w:val="24"/>
        </w:rPr>
        <w:t>到</w:t>
      </w:r>
      <w:r>
        <w:rPr>
          <w:rFonts w:hint="eastAsia" w:ascii="仿宋_GB2312" w:hAnsi="仿宋_GB2312" w:eastAsia="仿宋_GB2312" w:cs="仿宋_GB2312"/>
          <w:bCs/>
          <w:color w:val="000000"/>
          <w:sz w:val="24"/>
          <w:szCs w:val="24"/>
          <w:lang w:val="en-US" w:eastAsia="zh-CN"/>
        </w:rPr>
        <w:t>高</w:t>
      </w:r>
      <w:r>
        <w:rPr>
          <w:rFonts w:hint="eastAsia" w:ascii="仿宋_GB2312" w:hAnsi="仿宋_GB2312" w:eastAsia="仿宋_GB2312" w:cs="仿宋_GB2312"/>
          <w:bCs/>
          <w:color w:val="000000"/>
          <w:sz w:val="24"/>
          <w:szCs w:val="24"/>
        </w:rPr>
        <w:t>的顺序推荐本次比选招标的前三名中标候选人（若不足3名，则选取实际数量）。若</w:t>
      </w:r>
      <w:r>
        <w:rPr>
          <w:rFonts w:hint="eastAsia" w:ascii="仿宋_GB2312" w:hAnsi="仿宋_GB2312" w:eastAsia="仿宋_GB2312" w:cs="仿宋_GB2312"/>
          <w:bCs/>
          <w:color w:val="000000"/>
          <w:sz w:val="24"/>
          <w:szCs w:val="24"/>
          <w:lang w:val="en-US" w:eastAsia="zh-CN"/>
        </w:rPr>
        <w:t>发生报价相同，比选招标小组将按报价人供车时间进行比较，若供车时间越短将被优先推荐；若供车时间相同，则注册资本金越大的报价人将优先推荐。</w:t>
      </w:r>
    </w:p>
    <w:p>
      <w:pPr>
        <w:tabs>
          <w:tab w:val="left" w:pos="0"/>
        </w:tabs>
        <w:spacing w:line="360" w:lineRule="auto"/>
        <w:ind w:firstLine="440" w:firstLineChars="200"/>
        <w:rPr>
          <w:rFonts w:hint="eastAsia" w:ascii="仿宋_GB2312" w:hAnsi="仿宋_GB2312" w:eastAsia="仿宋_GB2312" w:cs="仿宋_GB2312"/>
          <w:bCs/>
          <w:color w:val="000000"/>
          <w:sz w:val="22"/>
          <w:szCs w:val="22"/>
          <w:lang w:val="en-US" w:eastAsia="zh-CN"/>
        </w:rPr>
      </w:pPr>
      <w:r>
        <w:rPr>
          <w:rFonts w:hint="eastAsia" w:ascii="仿宋_GB2312" w:hAnsi="仿宋_GB2312" w:eastAsia="仿宋_GB2312" w:cs="仿宋_GB2312"/>
          <w:bCs/>
          <w:color w:val="000000"/>
          <w:sz w:val="22"/>
          <w:szCs w:val="22"/>
          <w:lang w:val="en-US" w:eastAsia="zh-CN"/>
        </w:rPr>
        <w:t>评标小组按照比选结果推选出中标候选人，向排名第一的中标候选人发出中标通知书。如排名第一的中标候选人因不可抗力或出现重大报价失误提出不能履行合同，放弃中标，招标人可以确定排名第二的中标候选人为中标人。排名第二的中标候选人因同样原因不能签订合同，招标人人可确定排名第三的中标候选人为中标人，或者重新组织询价。</w:t>
      </w:r>
    </w:p>
    <w:p>
      <w:pPr>
        <w:tabs>
          <w:tab w:val="left" w:pos="0"/>
        </w:tabs>
        <w:spacing w:line="360" w:lineRule="auto"/>
        <w:ind w:firstLine="480" w:firstLineChars="200"/>
        <w:rPr>
          <w:rFonts w:hint="eastAsia" w:ascii="仿宋_GB2312" w:hAnsi="仿宋_GB2312" w:eastAsia="仿宋_GB2312" w:cs="仿宋_GB2312"/>
          <w:bCs/>
          <w:color w:val="000000"/>
          <w:sz w:val="24"/>
          <w:szCs w:val="24"/>
          <w:lang w:val="en-US" w:eastAsia="zh-CN"/>
        </w:rPr>
      </w:pPr>
    </w:p>
    <w:p>
      <w:pPr>
        <w:pStyle w:val="4"/>
        <w:spacing w:line="360" w:lineRule="auto"/>
        <w:ind w:firstLine="480" w:firstLineChars="200"/>
        <w:rPr>
          <w:rFonts w:hint="eastAsia" w:ascii="仿宋_GB2312" w:hAnsi="仿宋_GB2312" w:eastAsia="仿宋_GB2312" w:cs="仿宋_GB2312"/>
          <w:color w:val="000000"/>
          <w:sz w:val="24"/>
          <w:szCs w:val="24"/>
        </w:rPr>
      </w:pPr>
    </w:p>
    <w:p>
      <w:pPr>
        <w:pStyle w:val="4"/>
        <w:spacing w:line="460" w:lineRule="exact"/>
        <w:ind w:firstLine="480" w:firstLineChars="200"/>
        <w:rPr>
          <w:rFonts w:hint="eastAsia" w:ascii="仿宋_GB2312" w:hAnsi="仿宋_GB2312" w:eastAsia="仿宋_GB2312" w:cs="仿宋_GB2312"/>
          <w:color w:val="000000"/>
          <w:sz w:val="24"/>
          <w:szCs w:val="24"/>
        </w:rPr>
      </w:pPr>
    </w:p>
    <w:p>
      <w:pPr>
        <w:pStyle w:val="4"/>
        <w:spacing w:line="460" w:lineRule="exact"/>
        <w:ind w:firstLine="480" w:firstLineChars="200"/>
        <w:rPr>
          <w:rFonts w:hint="eastAsia" w:ascii="仿宋_GB2312" w:hAnsi="仿宋_GB2312" w:eastAsia="仿宋_GB2312" w:cs="仿宋_GB2312"/>
          <w:color w:val="000000"/>
          <w:sz w:val="24"/>
          <w:szCs w:val="24"/>
        </w:rPr>
      </w:pPr>
    </w:p>
    <w:p>
      <w:pPr>
        <w:pStyle w:val="4"/>
        <w:spacing w:line="460" w:lineRule="exact"/>
        <w:ind w:firstLine="480" w:firstLineChars="200"/>
        <w:rPr>
          <w:rFonts w:hint="eastAsia" w:ascii="仿宋_GB2312" w:hAnsi="仿宋_GB2312" w:eastAsia="仿宋_GB2312" w:cs="仿宋_GB2312"/>
          <w:color w:val="000000"/>
          <w:sz w:val="24"/>
          <w:szCs w:val="24"/>
        </w:rPr>
      </w:pPr>
    </w:p>
    <w:p>
      <w:pPr>
        <w:numPr>
          <w:ilvl w:val="0"/>
          <w:numId w:val="0"/>
        </w:numPr>
        <w:tabs>
          <w:tab w:val="left" w:pos="2728"/>
        </w:tabs>
        <w:spacing w:line="540" w:lineRule="exact"/>
        <w:ind w:firstLine="964" w:firstLineChars="4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第四章         车辆基本参数及要求</w:t>
      </w:r>
    </w:p>
    <w:p>
      <w:pPr>
        <w:numPr>
          <w:ilvl w:val="0"/>
          <w:numId w:val="0"/>
        </w:numPr>
        <w:spacing w:line="5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jc w:val="center"/>
        <w:rPr>
          <w:rFonts w:hint="eastAsia" w:ascii="仿宋_GB2312" w:hAnsi="仿宋_GB2312" w:eastAsia="仿宋_GB2312" w:cs="仿宋_GB2312"/>
          <w:bCs/>
          <w:kern w:val="44"/>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Cs/>
          <w:kern w:val="44"/>
          <w:sz w:val="24"/>
          <w:szCs w:val="24"/>
          <w:lang w:val="en-US" w:eastAsia="zh-CN"/>
        </w:rPr>
        <w:t>一、皮卡车技术要求</w:t>
      </w:r>
    </w:p>
    <w:tbl>
      <w:tblPr>
        <w:tblStyle w:val="10"/>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277"/>
        <w:gridCol w:w="335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序号 </w:t>
            </w:r>
          </w:p>
        </w:tc>
        <w:tc>
          <w:tcPr>
            <w:tcW w:w="3277" w:type="dxa"/>
            <w:tcBorders>
              <w:top w:val="single" w:color="auto" w:sz="4" w:space="0"/>
              <w:left w:val="single" w:color="auto" w:sz="4" w:space="0"/>
              <w:bottom w:val="single" w:color="auto" w:sz="4" w:space="0"/>
              <w:right w:val="single" w:color="auto" w:sz="4" w:space="0"/>
            </w:tcBorders>
            <w:vAlign w:val="top"/>
          </w:tcPr>
          <w:p>
            <w:pPr>
              <w:spacing w:line="480" w:lineRule="auto"/>
              <w:ind w:left="165"/>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名  目</w:t>
            </w:r>
          </w:p>
        </w:tc>
        <w:tc>
          <w:tcPr>
            <w:tcW w:w="3359" w:type="dxa"/>
            <w:tcBorders>
              <w:top w:val="single" w:color="auto" w:sz="4" w:space="0"/>
              <w:left w:val="single" w:color="auto" w:sz="4" w:space="0"/>
              <w:bottom w:val="single" w:color="auto" w:sz="4" w:space="0"/>
              <w:right w:val="single" w:color="auto" w:sz="4" w:space="0"/>
            </w:tcBorders>
            <w:vAlign w:val="top"/>
          </w:tcPr>
          <w:p>
            <w:pPr>
              <w:spacing w:line="48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参数</w:t>
            </w:r>
          </w:p>
        </w:tc>
        <w:tc>
          <w:tcPr>
            <w:tcW w:w="1483" w:type="dxa"/>
            <w:tcBorders>
              <w:top w:val="single" w:color="auto" w:sz="4" w:space="0"/>
              <w:left w:val="single" w:color="auto" w:sz="4" w:space="0"/>
              <w:bottom w:val="single" w:color="auto" w:sz="4" w:space="0"/>
              <w:right w:val="single" w:color="auto" w:sz="4" w:space="0"/>
            </w:tcBorders>
            <w:vAlign w:val="top"/>
          </w:tcPr>
          <w:p>
            <w:pPr>
              <w:spacing w:line="48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外型尺寸（mm）</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5263</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1850</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1790</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轴距（mm）</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3150</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发动机类型</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16" w:type="dxa"/>
            <w:tcBorders>
              <w:top w:val="single" w:color="auto" w:sz="4" w:space="0"/>
              <w:left w:val="single" w:color="auto" w:sz="4" w:space="0"/>
              <w:bottom w:val="single" w:color="auto" w:sz="4" w:space="0"/>
              <w:right w:val="single" w:color="auto" w:sz="4" w:space="0"/>
            </w:tcBorders>
            <w:vAlign w:val="top"/>
          </w:tcPr>
          <w:p>
            <w:pPr>
              <w:spacing w:line="480" w:lineRule="auto"/>
              <w:ind w:firstLine="240" w:firstLineChars="10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3277" w:type="dxa"/>
            <w:tcBorders>
              <w:top w:val="single" w:color="auto" w:sz="4" w:space="0"/>
              <w:left w:val="single" w:color="auto" w:sz="4" w:space="0"/>
              <w:bottom w:val="single" w:color="auto" w:sz="4" w:space="0"/>
              <w:right w:val="single" w:color="auto" w:sz="4" w:space="0"/>
            </w:tcBorders>
            <w:vAlign w:val="top"/>
          </w:tcPr>
          <w:p>
            <w:pPr>
              <w:spacing w:line="480" w:lineRule="auto"/>
              <w:ind w:firstLine="1200" w:firstLineChars="500"/>
              <w:jc w:val="both"/>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发动机形式</w:t>
            </w:r>
          </w:p>
        </w:tc>
        <w:tc>
          <w:tcPr>
            <w:tcW w:w="3359"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自然吸气</w:t>
            </w:r>
          </w:p>
          <w:p>
            <w:pPr>
              <w:ind w:firstLine="355" w:firstLineChars="0"/>
              <w:jc w:val="left"/>
              <w:rPr>
                <w:rFonts w:hint="eastAsia" w:ascii="仿宋_GB2312" w:hAnsi="仿宋_GB2312" w:eastAsia="仿宋_GB2312" w:cs="仿宋_GB2312"/>
                <w:color w:val="000000"/>
                <w:kern w:val="0"/>
                <w:sz w:val="24"/>
                <w:szCs w:val="24"/>
                <w:lang w:val="en-US" w:eastAsia="zh-CN" w:bidi="ar-SA"/>
              </w:rPr>
            </w:pP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发动机功率(KW)</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135</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最大扭矩</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236</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燃油种类</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排放标准</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w:t>
            </w:r>
            <w:r>
              <w:rPr>
                <w:rFonts w:hint="eastAsia" w:ascii="仿宋_GB2312" w:hAnsi="仿宋_GB2312" w:eastAsia="仿宋_GB2312" w:cs="仿宋_GB2312"/>
                <w:color w:val="000000"/>
                <w:kern w:val="0"/>
                <w:sz w:val="24"/>
                <w:szCs w:val="24"/>
                <w:lang w:val="en-US" w:eastAsia="zh-CN"/>
              </w:rPr>
              <w:t>五</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排量（L）</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CN"/>
              </w:rPr>
              <w:t>5</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最高车速（KM/h）</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160</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驱动形式</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前置后驱</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额定载客（含驾驶员）（人）</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变速箱形式</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7速双离合手自一体</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安全配置</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双安全气囊</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轮胎 数量（只）</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3277"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轮胎规格</w:t>
            </w:r>
          </w:p>
        </w:tc>
        <w:tc>
          <w:tcPr>
            <w:tcW w:w="3359" w:type="dxa"/>
            <w:tcBorders>
              <w:top w:val="single" w:color="auto" w:sz="4" w:space="0"/>
              <w:left w:val="single" w:color="auto" w:sz="4" w:space="0"/>
              <w:bottom w:val="single" w:color="auto" w:sz="4" w:space="0"/>
              <w:right w:val="single" w:color="auto" w:sz="4" w:space="0"/>
            </w:tcBorders>
            <w:vAlign w:val="top"/>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lang w:val="en-US" w:eastAsia="zh-CN"/>
              </w:rPr>
              <w:t>70</w:t>
            </w:r>
            <w:r>
              <w:rPr>
                <w:rFonts w:hint="eastAsia" w:ascii="仿宋_GB2312" w:hAnsi="仿宋_GB2312" w:eastAsia="仿宋_GB2312" w:cs="仿宋_GB2312"/>
                <w:color w:val="000000"/>
                <w:kern w:val="0"/>
                <w:sz w:val="24"/>
                <w:szCs w:val="24"/>
              </w:rPr>
              <w:t>R1</w:t>
            </w:r>
            <w:r>
              <w:rPr>
                <w:rFonts w:hint="eastAsia" w:ascii="仿宋_GB2312" w:hAnsi="仿宋_GB2312" w:eastAsia="仿宋_GB2312" w:cs="仿宋_GB2312"/>
                <w:color w:val="000000"/>
                <w:kern w:val="0"/>
                <w:sz w:val="24"/>
                <w:szCs w:val="24"/>
                <w:lang w:val="en-US" w:eastAsia="zh-CN"/>
              </w:rPr>
              <w:t>6</w:t>
            </w:r>
          </w:p>
        </w:tc>
        <w:tc>
          <w:tcPr>
            <w:tcW w:w="1483" w:type="dxa"/>
            <w:tcBorders>
              <w:top w:val="single" w:color="auto" w:sz="4" w:space="0"/>
              <w:left w:val="single" w:color="auto" w:sz="4" w:space="0"/>
              <w:bottom w:val="single" w:color="auto" w:sz="4" w:space="0"/>
              <w:right w:val="single" w:color="auto" w:sz="4" w:space="0"/>
            </w:tcBorders>
            <w:vAlign w:val="top"/>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vAlign w:val="top"/>
          </w:tcPr>
          <w:p>
            <w:pPr>
              <w:ind w:left="165"/>
              <w:jc w:val="center"/>
              <w:rPr>
                <w:rFonts w:hint="eastAsia" w:ascii="仿宋_GB2312" w:hAnsi="仿宋_GB2312" w:eastAsia="仿宋_GB2312" w:cs="仿宋_GB2312"/>
                <w:color w:val="000000"/>
                <w:kern w:val="0"/>
                <w:sz w:val="24"/>
                <w:szCs w:val="24"/>
              </w:rPr>
            </w:pPr>
          </w:p>
        </w:tc>
        <w:tc>
          <w:tcPr>
            <w:tcW w:w="8119" w:type="dxa"/>
            <w:gridSpan w:val="3"/>
            <w:tcBorders>
              <w:top w:val="single" w:color="auto" w:sz="4" w:space="0"/>
              <w:left w:val="single" w:color="auto" w:sz="4" w:space="0"/>
              <w:bottom w:val="single" w:color="auto" w:sz="4" w:space="0"/>
              <w:right w:val="single" w:color="auto" w:sz="4" w:space="0"/>
            </w:tcBorders>
            <w:vAlign w:val="top"/>
          </w:tcPr>
          <w:p>
            <w:pPr>
              <w:ind w:left="23" w:leftChars="11"/>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说明:</w:t>
            </w:r>
          </w:p>
          <w:p>
            <w:pPr>
              <w:ind w:left="23" w:leftChars="11"/>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1、车辆其它配置包括：前大灯</w:t>
            </w:r>
            <w:r>
              <w:rPr>
                <w:rFonts w:hint="eastAsia" w:ascii="仿宋_GB2312" w:hAnsi="仿宋_GB2312" w:eastAsia="仿宋_GB2312" w:cs="仿宋_GB2312"/>
                <w:color w:val="000000"/>
                <w:kern w:val="0"/>
                <w:sz w:val="24"/>
                <w:szCs w:val="24"/>
                <w:lang w:eastAsia="zh-CN"/>
              </w:rPr>
              <w:t>高度手动</w:t>
            </w:r>
            <w:r>
              <w:rPr>
                <w:rFonts w:hint="eastAsia" w:ascii="仿宋_GB2312" w:hAnsi="仿宋_GB2312" w:eastAsia="仿宋_GB2312" w:cs="仿宋_GB2312"/>
                <w:color w:val="000000"/>
                <w:kern w:val="0"/>
                <w:sz w:val="24"/>
                <w:szCs w:val="24"/>
              </w:rPr>
              <w:t>调节、电动外后视镜、安全带未系提示、</w:t>
            </w:r>
            <w:r>
              <w:rPr>
                <w:rFonts w:hint="eastAsia" w:ascii="仿宋_GB2312" w:hAnsi="仿宋_GB2312" w:eastAsia="仿宋_GB2312" w:cs="仿宋_GB2312"/>
                <w:color w:val="000000"/>
                <w:kern w:val="0"/>
                <w:sz w:val="24"/>
                <w:szCs w:val="24"/>
                <w:lang w:eastAsia="zh-CN"/>
              </w:rPr>
              <w:t>前雾灯</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双</w:t>
            </w:r>
            <w:r>
              <w:rPr>
                <w:rFonts w:hint="eastAsia" w:ascii="仿宋_GB2312" w:hAnsi="仿宋_GB2312" w:eastAsia="仿宋_GB2312" w:cs="仿宋_GB2312"/>
                <w:color w:val="000000"/>
                <w:kern w:val="0"/>
                <w:sz w:val="24"/>
                <w:szCs w:val="24"/>
              </w:rPr>
              <w:t>区自动冷暖空调</w:t>
            </w:r>
            <w:r>
              <w:rPr>
                <w:rFonts w:hint="eastAsia" w:ascii="仿宋_GB2312" w:hAnsi="仿宋_GB2312" w:eastAsia="仿宋_GB2312" w:cs="仿宋_GB2312"/>
                <w:color w:val="000000"/>
                <w:kern w:val="0"/>
                <w:sz w:val="24"/>
                <w:szCs w:val="24"/>
                <w:lang w:eastAsia="zh-CN"/>
              </w:rPr>
              <w:t>（带花粉过滤）</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四门电动车窗、第二排出风口、发动机防盗</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防眩目内后视镜、</w:t>
            </w:r>
            <w:r>
              <w:rPr>
                <w:rFonts w:hint="eastAsia" w:ascii="仿宋_GB2312" w:hAnsi="仿宋_GB2312" w:eastAsia="仿宋_GB2312" w:cs="仿宋_GB2312"/>
                <w:color w:val="000000"/>
                <w:kern w:val="0"/>
                <w:sz w:val="24"/>
                <w:szCs w:val="24"/>
              </w:rPr>
              <w:t>USB播放及12伏电源插座、原尺寸备胎。</w:t>
            </w:r>
          </w:p>
          <w:p>
            <w:pPr>
              <w:ind w:left="165"/>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2、车辆应符合中华人民共和国国家标准“GB7258-1997机动车运行安全技术条件”的有关规定。车辆应登载国家汽车产品公告，在当地车管所上牌照不受质疑；符合国家认可的国五排放标准。</w:t>
            </w:r>
          </w:p>
        </w:tc>
      </w:tr>
    </w:tbl>
    <w:p>
      <w:pPr>
        <w:jc w:val="center"/>
        <w:rPr>
          <w:rFonts w:hint="eastAsia" w:ascii="仿宋_GB2312" w:hAnsi="仿宋_GB2312" w:eastAsia="仿宋_GB2312" w:cs="仿宋_GB2312"/>
          <w:bCs/>
          <w:kern w:val="44"/>
          <w:sz w:val="24"/>
          <w:szCs w:val="24"/>
        </w:rPr>
      </w:pPr>
    </w:p>
    <w:p>
      <w:pPr>
        <w:jc w:val="center"/>
        <w:rPr>
          <w:rFonts w:hint="eastAsia" w:ascii="仿宋_GB2312" w:hAnsi="仿宋_GB2312" w:eastAsia="仿宋_GB2312" w:cs="仿宋_GB2312"/>
          <w:bCs/>
          <w:kern w:val="44"/>
          <w:sz w:val="24"/>
          <w:szCs w:val="24"/>
        </w:rPr>
      </w:pPr>
    </w:p>
    <w:p>
      <w:pPr>
        <w:jc w:val="center"/>
        <w:rPr>
          <w:rFonts w:hint="eastAsia" w:ascii="仿宋_GB2312" w:hAnsi="仿宋_GB2312" w:eastAsia="仿宋_GB2312" w:cs="仿宋_GB2312"/>
          <w:bCs/>
          <w:kern w:val="44"/>
          <w:sz w:val="24"/>
          <w:szCs w:val="24"/>
        </w:rPr>
      </w:pPr>
    </w:p>
    <w:p>
      <w:pPr>
        <w:jc w:val="center"/>
        <w:rPr>
          <w:rFonts w:hint="eastAsia" w:ascii="仿宋_GB2312" w:hAnsi="仿宋_GB2312" w:eastAsia="仿宋_GB2312" w:cs="仿宋_GB2312"/>
          <w:bCs/>
          <w:kern w:val="44"/>
          <w:sz w:val="24"/>
          <w:szCs w:val="24"/>
        </w:rPr>
      </w:pPr>
    </w:p>
    <w:p>
      <w:pPr>
        <w:jc w:val="center"/>
        <w:rPr>
          <w:rFonts w:hint="eastAsia" w:ascii="仿宋_GB2312" w:hAnsi="仿宋_GB2312" w:eastAsia="仿宋_GB2312" w:cs="仿宋_GB2312"/>
          <w:b/>
          <w:sz w:val="24"/>
          <w:szCs w:val="24"/>
        </w:rPr>
      </w:pP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二、考斯特客车技术要求</w:t>
      </w:r>
    </w:p>
    <w:tbl>
      <w:tblPr>
        <w:tblStyle w:val="10"/>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277"/>
        <w:gridCol w:w="335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6"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xml:space="preserve">序号 </w:t>
            </w:r>
          </w:p>
        </w:tc>
        <w:tc>
          <w:tcPr>
            <w:tcW w:w="3277"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名  目</w:t>
            </w:r>
          </w:p>
        </w:tc>
        <w:tc>
          <w:tcPr>
            <w:tcW w:w="3359"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参数</w:t>
            </w:r>
          </w:p>
        </w:tc>
        <w:tc>
          <w:tcPr>
            <w:tcW w:w="1483"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外型尺寸（mm）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7005×2040×2631</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发动机类型形式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V6自然吸气、多点电喷</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发动机功率(KW)</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kern w:val="0"/>
                <w:sz w:val="24"/>
                <w:szCs w:val="24"/>
              </w:rPr>
              <w:t>171</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最大扭矩</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kern w:val="0"/>
                <w:sz w:val="24"/>
                <w:szCs w:val="24"/>
              </w:rPr>
              <w:t>345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燃油种类</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排放标准</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国四</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排量（L）</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最高车速（KM/h）</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kern w:val="0"/>
                <w:sz w:val="24"/>
                <w:szCs w:val="24"/>
              </w:rPr>
              <w:t>130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方向助力类型</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液压助力</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制动器类型</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前盘后鼓</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最小离地间隙(mm)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轴距（mm）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3935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灯光、后视镜</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高度可调卤素大灯、带前雾灯</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额定载客（含驾驶员）（人）</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变速箱形式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5速手动</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16"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3277"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悬架结构（前/后）</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独立悬架/叶片弹簧</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空调形式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手动空调</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安全配置</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ABS+LSP+BV</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座椅</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织物座椅</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轮胎规格</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7.00R16</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颜色</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上驼下白</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8" w:hRule="atLeast"/>
        </w:trPr>
        <w:tc>
          <w:tcPr>
            <w:tcW w:w="8835" w:type="dxa"/>
            <w:gridSpan w:val="4"/>
            <w:tcBorders>
              <w:top w:val="single" w:color="auto" w:sz="4" w:space="0"/>
              <w:left w:val="single" w:color="auto" w:sz="4" w:space="0"/>
              <w:bottom w:val="single" w:color="auto" w:sz="4" w:space="0"/>
              <w:right w:val="single" w:color="auto" w:sz="4" w:space="0"/>
            </w:tcBorders>
          </w:tcPr>
          <w:p>
            <w:pPr>
              <w:ind w:left="23" w:leftChars="11"/>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pPr>
              <w:ind w:left="23" w:leftChars="11"/>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车辆应符合中华人民共和国国家标准“GB7258-1997机动车运行安全技术条件”的有关规定。车辆应登载国家汽车产品公告，在当地车管所上牌照不受质疑；符合国家认可的排放标准。</w:t>
            </w:r>
          </w:p>
        </w:tc>
      </w:tr>
    </w:tbl>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lang w:val="en-US" w:eastAsia="zh-CN"/>
        </w:rPr>
      </w:pPr>
    </w:p>
    <w:p>
      <w:pPr>
        <w:ind w:firstLine="3614" w:firstLineChars="1500"/>
        <w:jc w:val="both"/>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三</w:t>
      </w:r>
      <w:r>
        <w:rPr>
          <w:rFonts w:hint="eastAsia" w:ascii="仿宋_GB2312" w:hAnsi="仿宋_GB2312" w:eastAsia="仿宋_GB2312" w:cs="仿宋_GB2312"/>
          <w:b/>
          <w:color w:val="000000"/>
          <w:sz w:val="24"/>
          <w:szCs w:val="24"/>
        </w:rPr>
        <w:t>、商务车技术要求</w:t>
      </w:r>
    </w:p>
    <w:tbl>
      <w:tblPr>
        <w:tblStyle w:val="10"/>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277"/>
        <w:gridCol w:w="335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6"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序号 </w:t>
            </w:r>
          </w:p>
        </w:tc>
        <w:tc>
          <w:tcPr>
            <w:tcW w:w="3277"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名  目</w:t>
            </w:r>
          </w:p>
        </w:tc>
        <w:tc>
          <w:tcPr>
            <w:tcW w:w="3359"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参数</w:t>
            </w:r>
          </w:p>
        </w:tc>
        <w:tc>
          <w:tcPr>
            <w:tcW w:w="1483" w:type="dxa"/>
            <w:tcBorders>
              <w:top w:val="single" w:color="auto" w:sz="4" w:space="0"/>
              <w:left w:val="single" w:color="auto" w:sz="4" w:space="0"/>
              <w:bottom w:val="single" w:color="auto" w:sz="4" w:space="0"/>
              <w:right w:val="single" w:color="auto" w:sz="4" w:space="0"/>
            </w:tcBorders>
          </w:tcPr>
          <w:p>
            <w:pPr>
              <w:spacing w:line="480" w:lineRule="auto"/>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外型尺寸（mm）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（长）5203×（宽）1878×（高）1805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轴距（mm）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≥3088</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发动机类型</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16" w:type="dxa"/>
            <w:tcBorders>
              <w:top w:val="single" w:color="auto" w:sz="4" w:space="0"/>
              <w:left w:val="single" w:color="auto" w:sz="4" w:space="0"/>
              <w:bottom w:val="single" w:color="auto" w:sz="4" w:space="0"/>
              <w:right w:val="single" w:color="auto" w:sz="4" w:space="0"/>
            </w:tcBorders>
          </w:tcPr>
          <w:p>
            <w:pPr>
              <w:spacing w:line="480" w:lineRule="auto"/>
              <w:ind w:firstLine="120" w:firstLineChars="5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3277" w:type="dxa"/>
            <w:tcBorders>
              <w:top w:val="single" w:color="auto" w:sz="4" w:space="0"/>
              <w:left w:val="single" w:color="auto" w:sz="4" w:space="0"/>
              <w:bottom w:val="single" w:color="auto" w:sz="4" w:space="0"/>
              <w:right w:val="single" w:color="auto" w:sz="4" w:space="0"/>
            </w:tcBorders>
          </w:tcPr>
          <w:p>
            <w:pPr>
              <w:spacing w:line="480" w:lineRule="auto"/>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发动机形式</w:t>
            </w:r>
          </w:p>
        </w:tc>
        <w:tc>
          <w:tcPr>
            <w:tcW w:w="3359"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涡轮增压</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发动机功率(KW/rpm)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≥191/5400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最大扭矩(N.m/rpm)</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≥350/2000-5000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燃油种类</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汽油</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排放标准</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国</w:t>
            </w:r>
            <w:r>
              <w:rPr>
                <w:rFonts w:hint="eastAsia" w:ascii="仿宋_GB2312" w:hAnsi="仿宋_GB2312" w:eastAsia="仿宋_GB2312" w:cs="仿宋_GB2312"/>
                <w:color w:val="000000"/>
                <w:kern w:val="0"/>
                <w:sz w:val="24"/>
                <w:szCs w:val="24"/>
                <w:lang w:val="en-US" w:eastAsia="zh-CN"/>
              </w:rPr>
              <w:t>六</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排量（L）</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最高车速（KM/h）</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≥197</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驱动形式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两轮驱动</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额定载客（含驾驶员）（人）</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变速箱形式</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6速双离合手自一体</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安全配置</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ABS+ASR+EDL,坡道起步辅助以及刹车辅助系统，ESC电子稳定系统，胎压监测系统，陡坡缓降系统，中控锁带遥控开启功能，发动机电子防盗，自动驻车，自动防炫目内后视镜，碰撞后紧急措施，后倒车雷达、倒车影像功能，前排双安全气囊、侧双安全气囊及气帘，LED前大灯及LED日间行车灯</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轮胎 数量（只）</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3277"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轮胎规格</w:t>
            </w:r>
          </w:p>
        </w:tc>
        <w:tc>
          <w:tcPr>
            <w:tcW w:w="335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235/55R17</w:t>
            </w:r>
          </w:p>
        </w:tc>
        <w:tc>
          <w:tcPr>
            <w:tcW w:w="1483" w:type="dxa"/>
            <w:tcBorders>
              <w:top w:val="single" w:color="auto" w:sz="4" w:space="0"/>
              <w:left w:val="single" w:color="auto" w:sz="4" w:space="0"/>
              <w:bottom w:val="single" w:color="auto" w:sz="4" w:space="0"/>
              <w:right w:val="single" w:color="auto" w:sz="4" w:space="0"/>
            </w:tcBorders>
          </w:tcPr>
          <w:p>
            <w:pPr>
              <w:ind w:left="165"/>
              <w:jc w:val="left"/>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16" w:type="dxa"/>
            <w:tcBorders>
              <w:top w:val="single" w:color="auto" w:sz="4" w:space="0"/>
              <w:left w:val="single" w:color="auto" w:sz="4" w:space="0"/>
              <w:bottom w:val="single" w:color="auto" w:sz="4" w:space="0"/>
              <w:right w:val="single" w:color="auto" w:sz="4" w:space="0"/>
            </w:tcBorders>
          </w:tcPr>
          <w:p>
            <w:pPr>
              <w:ind w:left="165"/>
              <w:jc w:val="center"/>
              <w:rPr>
                <w:rFonts w:hint="eastAsia" w:ascii="仿宋_GB2312" w:hAnsi="仿宋_GB2312" w:eastAsia="仿宋_GB2312" w:cs="仿宋_GB2312"/>
                <w:color w:val="000000"/>
                <w:kern w:val="0"/>
                <w:sz w:val="24"/>
                <w:szCs w:val="24"/>
              </w:rPr>
            </w:pPr>
          </w:p>
        </w:tc>
        <w:tc>
          <w:tcPr>
            <w:tcW w:w="8119" w:type="dxa"/>
            <w:gridSpan w:val="3"/>
            <w:tcBorders>
              <w:top w:val="single" w:color="auto" w:sz="4" w:space="0"/>
              <w:left w:val="single" w:color="auto" w:sz="4" w:space="0"/>
              <w:bottom w:val="single" w:color="auto" w:sz="4" w:space="0"/>
              <w:right w:val="single" w:color="auto" w:sz="4" w:space="0"/>
            </w:tcBorders>
          </w:tcPr>
          <w:p>
            <w:pPr>
              <w:ind w:left="23" w:leftChars="11"/>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说明:</w:t>
            </w:r>
          </w:p>
          <w:p>
            <w:pPr>
              <w:ind w:left="23" w:leftChars="11"/>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1、车辆其它配置包括：发动机启停系统、</w:t>
            </w:r>
            <w:r>
              <w:rPr>
                <w:rFonts w:hint="eastAsia" w:ascii="仿宋_GB2312" w:hAnsi="仿宋_GB2312" w:eastAsia="仿宋_GB2312" w:cs="仿宋_GB2312"/>
                <w:color w:val="000000"/>
                <w:kern w:val="0"/>
                <w:sz w:val="24"/>
                <w:szCs w:val="24"/>
                <w:lang w:val="en-US" w:eastAsia="zh-CN"/>
              </w:rPr>
              <w:t>双天窗</w:t>
            </w:r>
            <w:r>
              <w:rPr>
                <w:rFonts w:hint="eastAsia" w:ascii="仿宋_GB2312" w:hAnsi="仿宋_GB2312" w:eastAsia="仿宋_GB2312" w:cs="仿宋_GB2312"/>
                <w:color w:val="000000"/>
                <w:kern w:val="0"/>
                <w:sz w:val="24"/>
                <w:szCs w:val="24"/>
              </w:rPr>
              <w:t>、电动外后视镜带加热及电动折叠、带迎宾踏板、3区自动冷暖空调、前排座椅带腰部支撑和扶手、第二排带腿托，电动椅背调节、电动后尾门</w:t>
            </w:r>
            <w:r>
              <w:rPr>
                <w:rFonts w:hint="eastAsia" w:ascii="仿宋_GB2312" w:hAnsi="仿宋_GB2312" w:eastAsia="仿宋_GB2312" w:cs="仿宋_GB2312"/>
                <w:color w:val="000000"/>
                <w:kern w:val="0"/>
                <w:sz w:val="24"/>
                <w:szCs w:val="24"/>
                <w:lang w:eastAsia="zh-CN"/>
              </w:rPr>
              <w:t>。</w:t>
            </w:r>
          </w:p>
          <w:p>
            <w:pPr>
              <w:ind w:left="165"/>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2、车辆应符合中华人民共和国国家标准“GB7258-1997机动车运行安全技术条件”的有关规定。车辆应登载国家汽车产品公告，在当地车管所上牌照不受质疑；符合国家认可的国六排放标准。</w:t>
            </w:r>
          </w:p>
        </w:tc>
      </w:tr>
    </w:tbl>
    <w:p>
      <w:pPr>
        <w:spacing w:line="360" w:lineRule="auto"/>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2"/>
        <w:keepLines/>
        <w:numPr>
          <w:ilvl w:val="0"/>
          <w:numId w:val="6"/>
        </w:numPr>
        <w:spacing w:before="340" w:after="330" w:line="360" w:lineRule="auto"/>
        <w:jc w:val="center"/>
        <w:rPr>
          <w:rFonts w:hint="eastAsia" w:ascii="仿宋_GB2312" w:hAnsi="仿宋_GB2312" w:eastAsia="仿宋_GB2312" w:cs="仿宋_GB2312"/>
          <w:sz w:val="24"/>
          <w:szCs w:val="24"/>
          <w:lang w:val="en-US" w:eastAsia="zh-CN"/>
        </w:rPr>
      </w:pPr>
      <w:bookmarkStart w:id="0" w:name="_Toc324416398"/>
      <w:r>
        <w:rPr>
          <w:rFonts w:hint="eastAsia" w:ascii="仿宋_GB2312" w:hAnsi="仿宋_GB2312" w:eastAsia="仿宋_GB2312" w:cs="仿宋_GB2312"/>
          <w:b/>
          <w:bCs/>
          <w:color w:val="000000"/>
          <w:kern w:val="44"/>
          <w:sz w:val="24"/>
          <w:szCs w:val="24"/>
          <w:u w:val="none"/>
        </w:rPr>
        <w:t xml:space="preserve"> 合同协议书格式</w:t>
      </w:r>
      <w:bookmarkEnd w:id="0"/>
    </w:p>
    <w:p>
      <w:pPr>
        <w:ind w:firstLine="2891" w:firstLineChars="1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000000"/>
          <w:kern w:val="44"/>
          <w:sz w:val="24"/>
          <w:szCs w:val="24"/>
          <w:u w:val="none"/>
          <w:lang w:eastAsia="zh-CN"/>
        </w:rPr>
        <w:t>（</w:t>
      </w:r>
      <w:r>
        <w:rPr>
          <w:rFonts w:hint="eastAsia" w:ascii="仿宋_GB2312" w:hAnsi="仿宋_GB2312" w:eastAsia="仿宋_GB2312" w:cs="仿宋_GB2312"/>
          <w:b/>
          <w:bCs/>
          <w:color w:val="000000"/>
          <w:kern w:val="44"/>
          <w:sz w:val="24"/>
          <w:szCs w:val="24"/>
          <w:u w:val="none"/>
          <w:lang w:val="en-US" w:eastAsia="zh-CN"/>
        </w:rPr>
        <w:t>仅供参考</w:t>
      </w:r>
      <w:r>
        <w:rPr>
          <w:rFonts w:hint="eastAsia" w:ascii="仿宋_GB2312" w:hAnsi="仿宋_GB2312" w:eastAsia="仿宋_GB2312" w:cs="仿宋_GB2312"/>
          <w:b/>
          <w:bCs/>
          <w:color w:val="000000"/>
          <w:kern w:val="44"/>
          <w:sz w:val="24"/>
          <w:szCs w:val="24"/>
          <w:u w:val="none"/>
          <w:lang w:eastAsia="zh-CN"/>
        </w:rPr>
        <w:t>）</w:t>
      </w:r>
    </w:p>
    <w:p>
      <w:pPr>
        <w:pStyle w:val="4"/>
        <w:spacing w:line="360" w:lineRule="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附件一：</w:t>
      </w:r>
      <w:r>
        <w:rPr>
          <w:rFonts w:hint="eastAsia" w:ascii="仿宋_GB2312" w:hAnsi="仿宋_GB2312" w:eastAsia="仿宋_GB2312" w:cs="仿宋_GB2312"/>
          <w:b/>
          <w:color w:val="000000"/>
          <w:sz w:val="24"/>
          <w:szCs w:val="24"/>
          <w:lang w:val="en-US" w:eastAsia="zh-CN"/>
        </w:rPr>
        <w:t>车辆购销合同</w:t>
      </w:r>
    </w:p>
    <w:p>
      <w:pPr>
        <w:pStyle w:val="4"/>
        <w:spacing w:line="360" w:lineRule="auto"/>
        <w:rPr>
          <w:rFonts w:hint="eastAsia" w:ascii="仿宋_GB2312" w:hAnsi="仿宋_GB2312" w:eastAsia="仿宋_GB2312" w:cs="仿宋_GB2312"/>
          <w:b/>
          <w:color w:val="000000"/>
          <w:sz w:val="24"/>
          <w:szCs w:val="24"/>
        </w:rPr>
      </w:pPr>
    </w:p>
    <w:p>
      <w:pPr>
        <w:keepNext w:val="0"/>
        <w:keepLines w:val="0"/>
        <w:pageBreakBefore w:val="0"/>
        <w:widowControl w:val="0"/>
        <w:kinsoku/>
        <w:wordWrap/>
        <w:overflowPunct/>
        <w:topLinePunct w:val="0"/>
        <w:autoSpaceDE/>
        <w:autoSpaceDN/>
        <w:bidi w:val="0"/>
        <w:adjustRightInd/>
        <w:snapToGrid/>
        <w:ind w:left="0" w:leftChars="0" w:firstLine="120" w:firstLineChars="50"/>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车辆购销合同</w:t>
      </w:r>
    </w:p>
    <w:p>
      <w:pPr>
        <w:keepNext w:val="0"/>
        <w:keepLines w:val="0"/>
        <w:pageBreakBefore w:val="0"/>
        <w:widowControl w:val="0"/>
        <w:kinsoku/>
        <w:wordWrap/>
        <w:overflowPunct/>
        <w:topLinePunct w:val="0"/>
        <w:autoSpaceDE/>
        <w:autoSpaceDN/>
        <w:bidi w:val="0"/>
        <w:adjustRightInd/>
        <w:snapToGrid/>
        <w:ind w:left="0" w:leftChars="0" w:firstLine="120" w:firstLineChars="50"/>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买方就购买所需车辆（以下简称“车辆”）事宜，根据《中华人民共和国合同法》及相关法律法规规定，与卖方经平等协商，除专用条款外，达成如下通用条款：</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一、关于车辆交付</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 xml:space="preserve">  1、交付方式：</w:t>
      </w:r>
      <w:r>
        <w:rPr>
          <w:rFonts w:hint="eastAsia" w:ascii="仿宋_GB2312" w:hAnsi="仿宋_GB2312" w:eastAsia="仿宋_GB2312" w:cs="仿宋_GB2312"/>
          <w:color w:val="auto"/>
          <w:sz w:val="24"/>
          <w:szCs w:val="24"/>
        </w:rPr>
        <w:t>买方选择自提车辆的，需至交付地点自提自运；买方指定地点交付车辆的，由卖方将车辆运至买方指定的地点，并收取买方运费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元。</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b/>
          <w:bCs/>
          <w:color w:val="auto"/>
          <w:sz w:val="24"/>
          <w:szCs w:val="24"/>
        </w:rPr>
        <w:t xml:space="preserve">   2、交付地点：</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3、交付时间：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二、关于款项支付</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bCs/>
          <w:color w:val="auto"/>
          <w:sz w:val="24"/>
          <w:szCs w:val="24"/>
        </w:rPr>
        <w:t>1、付款方式：</w:t>
      </w:r>
      <w:r>
        <w:rPr>
          <w:rFonts w:hint="eastAsia" w:ascii="仿宋_GB2312" w:hAnsi="仿宋_GB2312" w:eastAsia="仿宋_GB2312" w:cs="仿宋_GB2312"/>
          <w:color w:val="auto"/>
          <w:sz w:val="24"/>
          <w:szCs w:val="24"/>
        </w:rPr>
        <w:t>买方选择</w:t>
      </w:r>
      <w:r>
        <w:rPr>
          <w:rFonts w:hint="eastAsia" w:ascii="仿宋_GB2312" w:hAnsi="仿宋_GB2312" w:eastAsia="仿宋_GB2312" w:cs="仿宋_GB2312"/>
          <w:color w:val="auto"/>
          <w:sz w:val="24"/>
          <w:szCs w:val="24"/>
          <w:lang w:val="en-US" w:eastAsia="zh-CN"/>
        </w:rPr>
        <w:t>全款购车</w:t>
      </w:r>
      <w:r>
        <w:rPr>
          <w:rFonts w:hint="eastAsia" w:ascii="仿宋_GB2312" w:hAnsi="仿宋_GB2312" w:eastAsia="仿宋_GB2312" w:cs="仿宋_GB2312"/>
          <w:color w:val="auto"/>
          <w:sz w:val="24"/>
          <w:szCs w:val="24"/>
        </w:rPr>
        <w:t>的，需在购销合同签订之日向卖方一次性付清购车总价；买方选择按揭</w:t>
      </w:r>
      <w:r>
        <w:rPr>
          <w:rFonts w:hint="eastAsia" w:ascii="仿宋_GB2312" w:hAnsi="仿宋_GB2312" w:eastAsia="仿宋_GB2312" w:cs="仿宋_GB2312"/>
          <w:color w:val="auto"/>
          <w:sz w:val="24"/>
          <w:szCs w:val="24"/>
          <w:lang w:val="en-US" w:eastAsia="zh-CN"/>
        </w:rPr>
        <w:t>购车</w:t>
      </w:r>
      <w:r>
        <w:rPr>
          <w:rFonts w:hint="eastAsia" w:ascii="仿宋_GB2312" w:hAnsi="仿宋_GB2312" w:eastAsia="仿宋_GB2312" w:cs="仿宋_GB2312"/>
          <w:color w:val="auto"/>
          <w:sz w:val="24"/>
          <w:szCs w:val="24"/>
        </w:rPr>
        <w:t>的，应在购销合同签署后</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日内，向与卖方有合作关系的金融机构申请汽车消费贷款，</w:t>
      </w:r>
      <w:r>
        <w:rPr>
          <w:rFonts w:hint="eastAsia" w:ascii="仿宋_GB2312" w:hAnsi="仿宋_GB2312" w:eastAsia="仿宋_GB2312" w:cs="仿宋_GB2312"/>
          <w:color w:val="auto"/>
          <w:sz w:val="24"/>
          <w:szCs w:val="24"/>
          <w:lang w:val="en-US" w:eastAsia="zh-CN"/>
        </w:rPr>
        <w:t>详</w:t>
      </w:r>
      <w:r>
        <w:rPr>
          <w:rFonts w:hint="eastAsia" w:ascii="仿宋_GB2312" w:hAnsi="仿宋_GB2312" w:eastAsia="仿宋_GB2312" w:cs="仿宋_GB2312"/>
          <w:color w:val="auto"/>
          <w:sz w:val="24"/>
          <w:szCs w:val="24"/>
        </w:rPr>
        <w:t>见附加约定条款。</w:t>
      </w:r>
    </w:p>
    <w:p>
      <w:pPr>
        <w:keepNext w:val="0"/>
        <w:keepLines w:val="0"/>
        <w:pageBreakBefore w:val="0"/>
        <w:widowControl w:val="0"/>
        <w:kinsoku/>
        <w:wordWrap/>
        <w:overflowPunct/>
        <w:topLinePunct w:val="0"/>
        <w:autoSpaceDE/>
        <w:autoSpaceDN/>
        <w:bidi w:val="0"/>
        <w:adjustRightInd/>
        <w:snapToGrid/>
        <w:ind w:left="0" w:leftChars="0" w:firstLine="120" w:firstLine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2、买方实际付款时间以卖方账户显示收到款项时间为准。</w:t>
      </w:r>
    </w:p>
    <w:p>
      <w:pPr>
        <w:keepNext w:val="0"/>
        <w:keepLines w:val="0"/>
        <w:pageBreakBefore w:val="0"/>
        <w:widowControl w:val="0"/>
        <w:kinsoku/>
        <w:wordWrap/>
        <w:overflowPunct/>
        <w:topLinePunct w:val="0"/>
        <w:autoSpaceDE/>
        <w:autoSpaceDN/>
        <w:bidi w:val="0"/>
        <w:adjustRightInd/>
        <w:snapToGrid/>
        <w:ind w:left="0" w:leftChars="0" w:firstLine="120" w:firstLineChars="5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3、买方在本合同签署前支付的定金或预付款，可在本合同项下款项支付时抵作相应购车款。</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三、关于车辆验收</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1、车辆验收应于交车当日在交车地点进行。验收完成后，双方应共同签署《车辆交付检查单》。</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2、买方对车辆数量、外观、颜色、规格等有异议的应在验车当场提出，未提出异议，则视为卖方交付的车辆的上述各项指标均符合本合同的要求。</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四、随车交付的文件</w:t>
      </w:r>
    </w:p>
    <w:p>
      <w:pPr>
        <w:keepNext w:val="0"/>
        <w:keepLines w:val="0"/>
        <w:pageBreakBefore w:val="0"/>
        <w:widowControl w:val="0"/>
        <w:kinsoku/>
        <w:wordWrap/>
        <w:overflowPunct/>
        <w:topLinePunct w:val="0"/>
        <w:autoSpaceDE/>
        <w:autoSpaceDN/>
        <w:bidi w:val="0"/>
        <w:adjustRightInd/>
        <w:snapToGrid/>
        <w:ind w:left="0" w:leftChars="0" w:firstLine="120" w:firstLine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随车交付的文件有：产品合格证、三包凭证、PDI检查表、保养凭证（按照厂家规定执行）、使用维修说明书。</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b/>
          <w:color w:val="auto"/>
          <w:sz w:val="24"/>
          <w:szCs w:val="24"/>
        </w:rPr>
        <w:t>五、卖方保证</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1、车辆已经过售前的调试、检验和清洁；</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2、车辆符合随车交付文件中所列的各项规格和指标；</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Cs/>
          <w:color w:val="auto"/>
          <w:sz w:val="24"/>
          <w:szCs w:val="24"/>
        </w:rPr>
        <w:t xml:space="preserve"> 3、不</w:t>
      </w:r>
      <w:r>
        <w:rPr>
          <w:rFonts w:hint="eastAsia" w:ascii="仿宋_GB2312" w:hAnsi="仿宋_GB2312" w:eastAsia="仿宋_GB2312" w:cs="仿宋_GB2312"/>
          <w:bCs/>
          <w:color w:val="auto"/>
          <w:sz w:val="24"/>
          <w:szCs w:val="24"/>
          <w:lang w:val="en-US" w:eastAsia="zh-CN"/>
        </w:rPr>
        <w:t>擅自</w:t>
      </w:r>
      <w:r>
        <w:rPr>
          <w:rFonts w:hint="eastAsia" w:ascii="仿宋_GB2312" w:hAnsi="仿宋_GB2312" w:eastAsia="仿宋_GB2312" w:cs="仿宋_GB2312"/>
          <w:bCs/>
          <w:color w:val="auto"/>
          <w:sz w:val="24"/>
          <w:szCs w:val="24"/>
        </w:rPr>
        <w:t>改变车辆的出厂状态，即不改动或改装车辆，不添加任何其它标记、标识。</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六、买方保证</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1、买方是所购车辆的最终用户，买方不以任何商业目的展示车辆或将车辆用于有损车辆品牌形象的活动及行为；</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2、买方所购车辆仅在中国大陆使用，不得销售往其它国家或地区或以其他方式在其它国家或地区使用；</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3、买方在购车前，已获得合法的资格，并在购车后依法律规定的时间到车辆管理部门依法办理一切登记手续，否则因此造成的一切后果均由买方自行承担；</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4、买方保证不移去所购车辆的徽章或商标等标志，或用其他方式来掩盖或替代。</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5、基于当前技术能力和检测手段所限，卖方所销售的车辆可能存在卖方亦无法知晓的或有瑕疵或其他问题。对此，买方充分理解并承诺：1）在发现此类问题时及时通知卖方且将寻求卖方帮助作为解决相关问题的首要途径；2）除买方有足够证据证明卖方有故意欺诈的行为、虚构车辆状况的情形外，买方不得以欺诈为由向卖方主张任何权利。</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七、质量及质量担保</w:t>
      </w:r>
    </w:p>
    <w:p>
      <w:pPr>
        <w:keepNext w:val="0"/>
        <w:keepLines w:val="0"/>
        <w:pageBreakBefore w:val="0"/>
        <w:widowControl w:val="0"/>
        <w:kinsoku/>
        <w:wordWrap/>
        <w:overflowPunct/>
        <w:topLinePunct w:val="0"/>
        <w:autoSpaceDE/>
        <w:autoSpaceDN/>
        <w:bidi w:val="0"/>
        <w:adjustRightInd/>
        <w:snapToGrid/>
        <w:ind w:left="0" w:leftChars="0" w:firstLine="360" w:firstLineChars="150"/>
        <w:jc w:val="left"/>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1、卖方确保买方所购车辆为合格产品。但是双方明了，车辆的重量、功率、油耗、最高时速及其他具体数据只被视为近似值；</w:t>
      </w:r>
    </w:p>
    <w:p>
      <w:pPr>
        <w:keepNext w:val="0"/>
        <w:keepLines w:val="0"/>
        <w:pageBreakBefore w:val="0"/>
        <w:widowControl w:val="0"/>
        <w:kinsoku/>
        <w:wordWrap/>
        <w:overflowPunct/>
        <w:topLinePunct w:val="0"/>
        <w:autoSpaceDE/>
        <w:autoSpaceDN/>
        <w:bidi w:val="0"/>
        <w:adjustRightInd/>
        <w:snapToGrid/>
        <w:ind w:left="0" w:leftChars="0" w:firstLine="360" w:firstLineChars="150"/>
        <w:jc w:val="left"/>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2、车辆的质量担保范围及方式见随车所附的《使用维修说明书》；</w:t>
      </w:r>
    </w:p>
    <w:p>
      <w:pPr>
        <w:keepNext w:val="0"/>
        <w:keepLines w:val="0"/>
        <w:pageBreakBefore w:val="0"/>
        <w:widowControl w:val="0"/>
        <w:kinsoku/>
        <w:wordWrap/>
        <w:overflowPunct/>
        <w:topLinePunct w:val="0"/>
        <w:autoSpaceDE/>
        <w:autoSpaceDN/>
        <w:bidi w:val="0"/>
        <w:adjustRightInd/>
        <w:snapToGrid/>
        <w:ind w:left="0" w:leftChars="0" w:firstLine="360" w:firstLineChars="150"/>
        <w:jc w:val="left"/>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3、买方及其许可使用车辆的人员，应按《使用维修说明书》要求规范使用、保养和维修，如有违反，造成和/或引车辆的损坏或故障，则不能获得质量担保服务；</w:t>
      </w:r>
    </w:p>
    <w:p>
      <w:pPr>
        <w:keepNext w:val="0"/>
        <w:keepLines w:val="0"/>
        <w:pageBreakBefore w:val="0"/>
        <w:widowControl w:val="0"/>
        <w:kinsoku/>
        <w:wordWrap/>
        <w:overflowPunct/>
        <w:topLinePunct w:val="0"/>
        <w:autoSpaceDE/>
        <w:autoSpaceDN/>
        <w:bidi w:val="0"/>
        <w:adjustRightInd/>
        <w:snapToGrid/>
        <w:ind w:left="0" w:leftChars="0" w:firstLine="360" w:firstLineChars="150"/>
        <w:jc w:val="left"/>
        <w:textAlignment w:val="auto"/>
        <w:outlineLvl w:val="9"/>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4、未经卖方书面许可，买方不得将车辆以出租营运目的使用或转售。买方若有违反，则由此引起的任何后果均由买方自行承担，包括免除卖方和/或制造商的质量担保责任及其它质量责任。</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八、不可抗力</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因不可抗力致使本合同不能履行的，双方互不承担违约责任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并由双方友好协商解决</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九、违约责任</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1、除非本合同另有约定，任何一方违约，违约方应按守约方的实际损失进行赔偿；</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2、如买方逾期提车的，需支付因其逾期提车而产生的</w:t>
      </w:r>
      <w:r>
        <w:rPr>
          <w:rFonts w:hint="eastAsia" w:ascii="仿宋_GB2312" w:hAnsi="仿宋_GB2312" w:eastAsia="仿宋_GB2312" w:cs="仿宋_GB2312"/>
          <w:color w:val="auto"/>
          <w:sz w:val="24"/>
          <w:szCs w:val="24"/>
          <w:lang w:val="en-US" w:eastAsia="zh-CN"/>
        </w:rPr>
        <w:t>包括卖方保管费、停车费等</w:t>
      </w:r>
      <w:r>
        <w:rPr>
          <w:rFonts w:hint="eastAsia" w:ascii="仿宋_GB2312" w:hAnsi="仿宋_GB2312" w:eastAsia="仿宋_GB2312" w:cs="仿宋_GB2312"/>
          <w:color w:val="auto"/>
          <w:sz w:val="24"/>
          <w:szCs w:val="24"/>
        </w:rPr>
        <w:t>一切费用；</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3、如买方在提车前要求调换车型、颜色、配置等给卖方造成损失的，则买方应</w:t>
      </w:r>
      <w:r>
        <w:rPr>
          <w:rFonts w:hint="eastAsia" w:ascii="仿宋_GB2312" w:hAnsi="仿宋_GB2312" w:eastAsia="仿宋_GB2312" w:cs="仿宋_GB2312"/>
          <w:color w:val="auto"/>
          <w:sz w:val="24"/>
          <w:szCs w:val="24"/>
          <w:lang w:val="en-US" w:eastAsia="zh-CN"/>
        </w:rPr>
        <w:t>购车款总额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向卖方支付违约金；</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4、如买方要求退车，</w:t>
      </w:r>
      <w:r>
        <w:rPr>
          <w:rFonts w:hint="eastAsia" w:ascii="仿宋_GB2312" w:hAnsi="仿宋_GB2312" w:eastAsia="仿宋_GB2312" w:cs="仿宋_GB2312"/>
          <w:color w:val="auto"/>
          <w:sz w:val="24"/>
          <w:szCs w:val="24"/>
          <w:lang w:val="en-US" w:eastAsia="zh-CN"/>
        </w:rPr>
        <w:t>则应向卖方支付不低于购车款总额</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%的违约金</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ind w:left="0" w:leftChars="0" w:firstLine="300"/>
        <w:jc w:val="left"/>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xml:space="preserve"> 5、如买方未在约定之日前付清车辆尾款，则</w:t>
      </w:r>
      <w:r>
        <w:rPr>
          <w:rFonts w:hint="eastAsia" w:ascii="仿宋_GB2312" w:hAnsi="仿宋_GB2312" w:eastAsia="仿宋_GB2312" w:cs="仿宋_GB2312"/>
          <w:color w:val="auto"/>
          <w:sz w:val="24"/>
          <w:szCs w:val="24"/>
          <w:lang w:val="en-US" w:eastAsia="zh-CN"/>
        </w:rPr>
        <w:t>逾期一日应按应付未付部分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%的标准向卖方支付违约金；逾期超过</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卖方有权解除本合同</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6、本合同项下所有买方应向卖方支付的违约金及其他费用，均可从卖方</w:t>
      </w:r>
      <w:r>
        <w:rPr>
          <w:rFonts w:hint="eastAsia" w:ascii="仿宋_GB2312" w:hAnsi="仿宋_GB2312" w:eastAsia="仿宋_GB2312" w:cs="仿宋_GB2312"/>
          <w:color w:val="auto"/>
          <w:sz w:val="24"/>
          <w:szCs w:val="24"/>
        </w:rPr>
        <w:t>已收取的预付车款中抵扣，多退少补。</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十、特别约定</w:t>
      </w:r>
    </w:p>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1、从车辆交付买方之时起，车辆的全部风险即由买方承担。无论该车辆所有权是否已经转移至买方，因该车辆发生包括但不限于违章、毁损、灭失、交通事故等风险或损失的，均由买方承担；</w:t>
      </w:r>
    </w:p>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如果买方虽已提车，但尚未付清本合同约定的购车总价，则车辆的所有权仍属卖方，且买方不得将车辆用于抵押或其它任何形式的债权担保或设定任何权利负担，否则卖方有权解除本合同、收回车辆并按每天以购车总价</w:t>
      </w:r>
      <w:r>
        <w:rPr>
          <w:rFonts w:hint="eastAsia" w:ascii="仿宋_GB2312" w:hAnsi="仿宋_GB2312" w:eastAsia="仿宋_GB2312" w:cs="仿宋_GB2312"/>
          <w:color w:val="auto"/>
          <w:sz w:val="24"/>
          <w:szCs w:val="24"/>
          <w:u w:val="single"/>
        </w:rPr>
        <w:t xml:space="preserve">  6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‰的标准向买方收取车辆使用费；</w:t>
      </w:r>
    </w:p>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 xml:space="preserve">    3、双方声明，双方是自愿签署本合同的，对本合同项下各条款内容均以仔细阅读并充分理解，保证履行。本合同为车辆买卖的正式法律文件，任何有关车辆的任何广告、宣传单张、推介资料、或其他媒体形式的信息仅供买方参考。</w:t>
      </w:r>
    </w:p>
    <w:p>
      <w:pPr>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十一、争议解决</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因履行本合同产生的一切争议，双方应协商解决；协商不成，应以第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种方式解决：</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向</w:t>
      </w:r>
      <w:r>
        <w:rPr>
          <w:rFonts w:hint="eastAsia" w:ascii="仿宋_GB2312" w:hAnsi="仿宋_GB2312" w:eastAsia="仿宋_GB2312" w:cs="仿宋_GB2312"/>
          <w:color w:val="auto"/>
          <w:sz w:val="24"/>
          <w:szCs w:val="24"/>
        </w:rPr>
        <w:t>卖方所在地人民法院起诉。</w:t>
      </w:r>
    </w:p>
    <w:p>
      <w:pPr>
        <w:keepNext w:val="0"/>
        <w:keepLines w:val="0"/>
        <w:pageBreakBefore w:val="0"/>
        <w:widowControl w:val="0"/>
        <w:kinsoku/>
        <w:wordWrap/>
        <w:overflowPunct/>
        <w:topLinePunct w:val="0"/>
        <w:autoSpaceDE/>
        <w:autoSpaceDN/>
        <w:bidi w:val="0"/>
        <w:adjustRightInd/>
        <w:snapToGrid/>
        <w:ind w:left="0" w:leftChars="0" w:firstLine="42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向卖方所在地</w:t>
      </w:r>
      <w:r>
        <w:rPr>
          <w:rFonts w:hint="eastAsia" w:ascii="仿宋_GB2312" w:hAnsi="仿宋_GB2312" w:eastAsia="仿宋_GB2312" w:cs="仿宋_GB2312"/>
          <w:color w:val="auto"/>
          <w:sz w:val="24"/>
          <w:szCs w:val="24"/>
        </w:rPr>
        <w:t>仲裁委员会</w:t>
      </w:r>
      <w:r>
        <w:rPr>
          <w:rFonts w:hint="eastAsia" w:ascii="仿宋_GB2312" w:hAnsi="仿宋_GB2312" w:eastAsia="仿宋_GB2312" w:cs="仿宋_GB2312"/>
          <w:color w:val="auto"/>
          <w:sz w:val="24"/>
          <w:szCs w:val="24"/>
          <w:lang w:val="en-US" w:eastAsia="zh-CN"/>
        </w:rPr>
        <w:t>申请仲裁</w:t>
      </w:r>
      <w:r>
        <w:rPr>
          <w:rFonts w:hint="eastAsia" w:ascii="仿宋_GB2312" w:hAnsi="仿宋_GB2312" w:eastAsia="仿宋_GB2312" w:cs="仿宋_GB2312"/>
          <w:color w:val="auto"/>
          <w:sz w:val="24"/>
          <w:szCs w:val="24"/>
        </w:rPr>
        <w:t>。</w:t>
      </w:r>
    </w:p>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十二、附则</w:t>
      </w:r>
    </w:p>
    <w:p>
      <w:pPr>
        <w:pStyle w:val="14"/>
        <w:keepNext w:val="0"/>
        <w:keepLines w:val="0"/>
        <w:pageBreakBefore w:val="0"/>
        <w:widowControl w:val="0"/>
        <w:kinsoku/>
        <w:wordWrap/>
        <w:overflowPunct/>
        <w:topLinePunct w:val="0"/>
        <w:autoSpaceDE/>
        <w:autoSpaceDN/>
        <w:bidi w:val="0"/>
        <w:adjustRightInd/>
        <w:snapToGrid/>
        <w:ind w:left="0" w:leftChars="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1、本合同一式叁份，甲乙双方各持壹份，均具有同等法律效力。</w:t>
      </w:r>
    </w:p>
    <w:p>
      <w:pPr>
        <w:pStyle w:val="14"/>
        <w:keepNext w:val="0"/>
        <w:keepLines w:val="0"/>
        <w:pageBreakBefore w:val="0"/>
        <w:widowControl w:val="0"/>
        <w:kinsoku/>
        <w:wordWrap/>
        <w:overflowPunct/>
        <w:topLinePunct w:val="0"/>
        <w:autoSpaceDE/>
        <w:autoSpaceDN/>
        <w:bidi w:val="0"/>
        <w:adjustRightInd/>
        <w:snapToGrid/>
        <w:ind w:left="0" w:leftChars="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2、本合同经甲乙双方共同签署</w:t>
      </w:r>
      <w:r>
        <w:rPr>
          <w:rFonts w:hint="eastAsia" w:ascii="仿宋_GB2312" w:hAnsi="仿宋_GB2312" w:eastAsia="仿宋_GB2312" w:cs="仿宋_GB2312"/>
          <w:color w:val="auto"/>
          <w:sz w:val="24"/>
          <w:szCs w:val="24"/>
          <w:lang w:val="en-US" w:eastAsia="zh-CN"/>
        </w:rPr>
        <w:t>且卖方收到买方支付的预付款后</w:t>
      </w:r>
      <w:r>
        <w:rPr>
          <w:rFonts w:hint="eastAsia" w:ascii="仿宋_GB2312" w:hAnsi="仿宋_GB2312" w:eastAsia="仿宋_GB2312" w:cs="仿宋_GB2312"/>
          <w:color w:val="auto"/>
          <w:sz w:val="24"/>
          <w:szCs w:val="24"/>
        </w:rPr>
        <w:t>生效。</w:t>
      </w:r>
    </w:p>
    <w:p>
      <w:pPr>
        <w:pStyle w:val="14"/>
        <w:keepNext w:val="0"/>
        <w:keepLines w:val="0"/>
        <w:pageBreakBefore w:val="0"/>
        <w:widowControl w:val="0"/>
        <w:kinsoku/>
        <w:wordWrap/>
        <w:overflowPunct/>
        <w:topLinePunct w:val="0"/>
        <w:autoSpaceDE/>
        <w:autoSpaceDN/>
        <w:bidi w:val="0"/>
        <w:adjustRightInd/>
        <w:snapToGrid/>
        <w:ind w:left="0" w:leftChars="0" w:firstLine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3、其他预定事项（甲乙双方盖章或按手印）：</w:t>
      </w:r>
      <w:r>
        <w:rPr>
          <w:rFonts w:hint="eastAsia" w:ascii="仿宋_GB2312" w:hAnsi="仿宋_GB2312" w:eastAsia="仿宋_GB2312" w:cs="仿宋_GB2312"/>
          <w:color w:val="auto"/>
          <w:sz w:val="24"/>
          <w:szCs w:val="24"/>
          <w:u w:val="single"/>
        </w:rPr>
        <w:t xml:space="preserve">                                                                                                     </w:t>
      </w:r>
    </w:p>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single"/>
        </w:rPr>
        <w:t xml:space="preserve">                                                                                                     </w:t>
      </w:r>
    </w:p>
    <w:p>
      <w:pPr>
        <w:pStyle w:val="14"/>
        <w:keepNext w:val="0"/>
        <w:keepLines w:val="0"/>
        <w:pageBreakBefore w:val="0"/>
        <w:widowControl w:val="0"/>
        <w:kinsoku/>
        <w:wordWrap/>
        <w:overflowPunct/>
        <w:topLinePunct w:val="0"/>
        <w:autoSpaceDE/>
        <w:autoSpaceDN/>
        <w:bidi w:val="0"/>
        <w:adjustRightInd/>
        <w:snapToGrid/>
        <w:ind w:left="0" w:leftChars="0" w:firstLine="422"/>
        <w:jc w:val="left"/>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特别提示一：</w:t>
      </w:r>
    </w:p>
    <w:p>
      <w:pPr>
        <w:pStyle w:val="14"/>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请购车客户在接到本公司销售顾问提车的通知时，务必在</w:t>
      </w:r>
      <w:r>
        <w:rPr>
          <w:rFonts w:hint="eastAsia" w:ascii="仿宋_GB2312" w:hAnsi="仿宋_GB2312" w:eastAsia="仿宋_GB2312" w:cs="仿宋_GB2312"/>
          <w:b/>
          <w:bCs/>
          <w:color w:val="auto"/>
          <w:sz w:val="24"/>
          <w:szCs w:val="24"/>
          <w:u w:val="single"/>
        </w:rPr>
        <w:t xml:space="preserve">  三  </w:t>
      </w:r>
      <w:r>
        <w:rPr>
          <w:rFonts w:hint="eastAsia" w:ascii="仿宋_GB2312" w:hAnsi="仿宋_GB2312" w:eastAsia="仿宋_GB2312" w:cs="仿宋_GB2312"/>
          <w:color w:val="auto"/>
          <w:sz w:val="24"/>
          <w:szCs w:val="24"/>
        </w:rPr>
        <w:t>个工作日内（一次性付款客户）或</w:t>
      </w:r>
      <w:r>
        <w:rPr>
          <w:rFonts w:hint="eastAsia" w:ascii="仿宋_GB2312" w:hAnsi="仿宋_GB2312" w:eastAsia="仿宋_GB2312" w:cs="仿宋_GB2312"/>
          <w:b/>
          <w:bCs/>
          <w:color w:val="auto"/>
          <w:sz w:val="24"/>
          <w:szCs w:val="24"/>
          <w:u w:val="single"/>
        </w:rPr>
        <w:t xml:space="preserve">  五  </w:t>
      </w:r>
      <w:r>
        <w:rPr>
          <w:rFonts w:hint="eastAsia" w:ascii="仿宋_GB2312" w:hAnsi="仿宋_GB2312" w:eastAsia="仿宋_GB2312" w:cs="仿宋_GB2312"/>
          <w:color w:val="auto"/>
          <w:sz w:val="24"/>
          <w:szCs w:val="24"/>
        </w:rPr>
        <w:t>个工作日内（按揭客户），到我公司办理相关手续。若上述期限内未办理相关手续的，我公司将有权按照本合同第九条相关约定处理。</w:t>
      </w:r>
    </w:p>
    <w:p>
      <w:pPr>
        <w:pStyle w:val="14"/>
        <w:keepNext w:val="0"/>
        <w:keepLines w:val="0"/>
        <w:pageBreakBefore w:val="0"/>
        <w:widowControl w:val="0"/>
        <w:kinsoku/>
        <w:wordWrap/>
        <w:overflowPunct/>
        <w:topLinePunct w:val="0"/>
        <w:autoSpaceDE/>
        <w:autoSpaceDN/>
        <w:bidi w:val="0"/>
        <w:adjustRightInd/>
        <w:snapToGrid/>
        <w:ind w:left="0" w:leftChars="0" w:firstLine="42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特别提示二：</w:t>
      </w:r>
    </w:p>
    <w:p>
      <w:pPr>
        <w:pStyle w:val="14"/>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所有车款或与购车相关的代办款，请交到本公司收银台或转账至本公司账户，并换取相关的财务票据。任何款项交于业务人员均与本公司无关（举报电话：                       ）</w:t>
      </w:r>
    </w:p>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_GB2312" w:hAnsi="仿宋_GB2312" w:eastAsia="仿宋_GB2312" w:cs="仿宋_GB2312"/>
          <w:color w:val="auto"/>
          <w:sz w:val="24"/>
          <w:szCs w:val="24"/>
        </w:rPr>
      </w:pPr>
    </w:p>
    <w:p>
      <w:pPr>
        <w:pStyle w:val="14"/>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卖方（盖章）：                            买方（签字/盖章）：</w:t>
      </w:r>
    </w:p>
    <w:p>
      <w:pPr>
        <w:pStyle w:val="14"/>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授权代表：   </w:t>
      </w:r>
    </w:p>
    <w:p>
      <w:pPr>
        <w:numPr>
          <w:ilvl w:val="0"/>
          <w:numId w:val="0"/>
        </w:numPr>
        <w:spacing w:line="5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rPr>
        <w:t>签订时间：      年    月   日</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签订地点：      市    区             </w:t>
      </w:r>
    </w:p>
    <w:p>
      <w:pPr>
        <w:numPr>
          <w:ilvl w:val="0"/>
          <w:numId w:val="0"/>
        </w:numPr>
        <w:spacing w:line="540" w:lineRule="exac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附件二、廉政合同</w:t>
      </w:r>
    </w:p>
    <w:p>
      <w:pPr>
        <w:numPr>
          <w:ilvl w:val="0"/>
          <w:numId w:val="0"/>
        </w:numPr>
        <w:spacing w:line="540" w:lineRule="exact"/>
        <w:ind w:firstLine="1446" w:firstLineChars="6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物资购销廉政合同</w:t>
      </w:r>
    </w:p>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物资名称：</w:t>
      </w:r>
    </w:p>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采购金额：</w:t>
      </w:r>
    </w:p>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购方单位（甲方）：</w:t>
      </w:r>
    </w:p>
    <w:p>
      <w:pPr>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供方单位（乙方）：</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根据党和国家有关廉政建设的规定，为做好物资购销业务活动中的党风廉政建设工作，保证资金的安全和有效使用，防止购销业务活动中的不廉行为发生，甲乙双方特订立如下合同：</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甲乙双方的权利和义务</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一、严格遵守党的政策和国家有关法律法规，严格执行购销合同文件，自觉按合同办事。</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二、建立健全廉政制度，开展廉政教育，监督并认真查处违法违纪行为。</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三、发现对方在业务活动中有违反廉政规定的行为，有及时提醒对方纠正的权利和义务。</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四、发现对方严重违反本合同义务条款的行为，有向其上级有关部门举报、建议给予处理并要求告知处理结果的权利。</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甲方的义务</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一、甲方工作人员要秉公办事，不准营私舞弊，不准利用职权从事各种个人有偿中介活动。</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二、甲方工作人员不得索要或接受乙方的礼金、回扣、有价证券和贵重物品，不得在乙方报销任何应由甲方或个人支付的费用等。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三、甲方工作人员不得参加乙方安排的超标准宴请和娱乐活动；不得接受乙方提供的通讯工具、交通工具和高档办公用品等。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四、甲方工作人员不得要求或接受乙方为其住房装修、婚丧嫁娶活动、配偶子女的工作安排以及出国、出境旅游等提供方便等。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乙方的义务</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一、乙方不得以任何理由向甲方及其工作人员行贿或馈赠礼金、有价证券、贵重礼品；不得以任何名义为甲方及其工作人员报销应由甲方单位或个人支付的任何费用。</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二、乙方不得以任何理由安排甲方工作人员参加超标准宴请及娱乐活动。</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三、乙方不得为甲方单位和个人购置或提供通讯工具、交通工具和高档办公用品等。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四、乙方不得为甲方工作人员住房装修、婚丧嫁娶活动、配偶子女的工作安排以及出国、出境旅游等提供方便等。</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第四条  违约责任</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一、甲方及其工作人员违反本合同第一、二条，按管理权限，依据有关规定给予党纪、政纪或组织处理；给乙方单位造成经济损失的，应予以赔偿。</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二、乙方及其工作人员违反本合同第一、三条，按管理权限，依据有关规定给予党纪、政纪或组织处理；给甲方单位造成经济损失的，应予以赔偿。</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第五条  双方约定：本合同由双方或双方上级单位的纪检监察机关负责监督执纪。</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第六条  本合同与物资购销合同同时签署，有效期为甲乙双方签署之日起至该购销合同执行完毕止。</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第七条  本合同作为物资购销合同的附件，与物资购销合同具有同等的法律效力，经合同双方签署立即生效。</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第八条  本合同一式五份，由甲乙双方各执一份，送交双方监督部门、甲方财务部各一份。</w:t>
      </w:r>
    </w:p>
    <w:p>
      <w:pPr>
        <w:spacing w:line="600" w:lineRule="exact"/>
        <w:ind w:firstLine="645"/>
        <w:rPr>
          <w:rFonts w:hint="eastAsia" w:ascii="仿宋_GB2312" w:hAnsi="仿宋_GB2312" w:eastAsia="仿宋_GB2312" w:cs="仿宋_GB2312"/>
          <w:sz w:val="24"/>
          <w:szCs w:val="24"/>
        </w:rPr>
      </w:pP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甲方单位：                    乙方单位：（盖章）</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或其                          或其</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授权的代理人：                授权的代理人：</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承办部门负责人：</w:t>
      </w:r>
    </w:p>
    <w:p>
      <w:pPr>
        <w:spacing w:line="600" w:lineRule="exact"/>
        <w:rPr>
          <w:rFonts w:hint="eastAsia" w:ascii="仿宋_GB2312" w:hAnsi="仿宋_GB2312" w:eastAsia="仿宋_GB2312" w:cs="仿宋_GB2312"/>
          <w:sz w:val="24"/>
          <w:szCs w:val="24"/>
        </w:rPr>
      </w:pP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甲方监督部门（盖章）          乙方监督部门（盖章）</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                    单位地址：</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单位电话：                    单位电话：</w:t>
      </w:r>
    </w:p>
    <w:p>
      <w:pPr>
        <w:spacing w:line="600" w:lineRule="exact"/>
        <w:ind w:firstLine="1080" w:firstLineChars="4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                 年   月   日</w:t>
      </w:r>
    </w:p>
    <w:p>
      <w:pPr>
        <w:numPr>
          <w:ilvl w:val="0"/>
          <w:numId w:val="0"/>
        </w:numPr>
        <w:spacing w:line="540" w:lineRule="exact"/>
        <w:rPr>
          <w:rFonts w:hint="eastAsia" w:ascii="仿宋_GB2312" w:hAnsi="仿宋_GB2312" w:eastAsia="仿宋_GB2312" w:cs="仿宋_GB2312"/>
          <w:sz w:val="24"/>
          <w:szCs w:val="24"/>
          <w:lang w:val="en-US" w:eastAsia="zh-CN"/>
        </w:rPr>
      </w:pPr>
    </w:p>
    <w:p>
      <w:pPr>
        <w:pStyle w:val="13"/>
        <w:widowControl w:val="0"/>
        <w:snapToGrid w:val="0"/>
        <w:spacing w:before="156" w:beforeLines="50" w:beforeAutospacing="0" w:after="312" w:afterLines="100" w:afterAutospacing="0" w:line="336" w:lineRule="auto"/>
        <w:jc w:val="both"/>
        <w:textAlignment w:val="auto"/>
        <w:outlineLvl w:val="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第六章       报价清单</w:t>
      </w:r>
    </w:p>
    <w:p>
      <w:pPr>
        <w:pStyle w:val="13"/>
        <w:widowControl w:val="0"/>
        <w:snapToGrid w:val="0"/>
        <w:spacing w:before="156" w:beforeLines="50" w:beforeAutospacing="0" w:after="312" w:afterLines="100" w:afterAutospacing="0" w:line="336" w:lineRule="auto"/>
        <w:textAlignment w:val="auto"/>
        <w:outlineLvl w:val="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四川成乐高速公路有限责任公司运营管理分公司</w:t>
      </w:r>
    </w:p>
    <w:p>
      <w:pPr>
        <w:pStyle w:val="13"/>
        <w:widowControl w:val="0"/>
        <w:snapToGrid w:val="0"/>
        <w:spacing w:before="156" w:beforeLines="50" w:beforeAutospacing="0" w:after="312" w:afterLines="100" w:afterAutospacing="0" w:line="336" w:lineRule="auto"/>
        <w:jc w:val="both"/>
        <w:textAlignment w:val="auto"/>
        <w:outlineLvl w:val="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 xml:space="preserve">               车辆采购项目</w:t>
      </w: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  价  文  件</w:t>
      </w: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 价 人：</w:t>
      </w:r>
      <w:r>
        <w:rPr>
          <w:rFonts w:hint="eastAsia" w:ascii="仿宋_GB2312" w:hAnsi="仿宋_GB2312" w:eastAsia="仿宋_GB2312" w:cs="仿宋_GB2312"/>
          <w:sz w:val="24"/>
          <w:szCs w:val="24"/>
          <w:u w:val="single"/>
        </w:rPr>
        <w:t xml:space="preserve">         （全称）        </w:t>
      </w:r>
      <w:r>
        <w:rPr>
          <w:rFonts w:hint="eastAsia" w:ascii="仿宋_GB2312" w:hAnsi="仿宋_GB2312" w:eastAsia="仿宋_GB2312" w:cs="仿宋_GB2312"/>
          <w:sz w:val="24"/>
          <w:szCs w:val="24"/>
        </w:rPr>
        <w:t>（盖单位章）</w:t>
      </w: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pStyle w:val="4"/>
        <w:spacing w:line="440" w:lineRule="exact"/>
        <w:ind w:firstLine="3240"/>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4"/>
        <w:spacing w:line="440" w:lineRule="exact"/>
        <w:ind w:firstLine="3240"/>
        <w:rPr>
          <w:rFonts w:hint="eastAsia" w:ascii="仿宋_GB2312" w:hAnsi="仿宋_GB2312" w:eastAsia="仿宋_GB2312" w:cs="仿宋_GB2312"/>
          <w:sz w:val="24"/>
          <w:szCs w:val="24"/>
        </w:rPr>
      </w:pPr>
    </w:p>
    <w:p>
      <w:pPr>
        <w:pStyle w:val="4"/>
        <w:spacing w:line="440" w:lineRule="exact"/>
        <w:rPr>
          <w:rFonts w:hint="eastAsia" w:ascii="仿宋_GB2312" w:hAnsi="仿宋_GB2312" w:eastAsia="仿宋_GB2312" w:cs="仿宋_GB2312"/>
          <w:bCs/>
          <w:sz w:val="24"/>
          <w:szCs w:val="24"/>
        </w:rPr>
      </w:pPr>
    </w:p>
    <w:p>
      <w:pPr>
        <w:tabs>
          <w:tab w:val="left" w:pos="540"/>
          <w:tab w:val="left" w:pos="720"/>
        </w:tabs>
        <w:spacing w:line="360" w:lineRule="auto"/>
        <w:rPr>
          <w:rFonts w:hint="eastAsia" w:ascii="仿宋_GB2312" w:hAnsi="仿宋_GB2312" w:eastAsia="仿宋_GB2312" w:cs="仿宋_GB2312"/>
          <w:sz w:val="24"/>
          <w:szCs w:val="24"/>
        </w:rPr>
      </w:pPr>
    </w:p>
    <w:p>
      <w:pPr>
        <w:widowControl/>
        <w:spacing w:line="440" w:lineRule="exact"/>
        <w:jc w:val="left"/>
        <w:outlineLvl w:val="1"/>
        <w:rPr>
          <w:rFonts w:hint="eastAsia" w:ascii="仿宋_GB2312" w:hAnsi="仿宋_GB2312" w:eastAsia="仿宋_GB2312" w:cs="仿宋_GB2312"/>
          <w:sz w:val="24"/>
          <w:szCs w:val="24"/>
        </w:rPr>
      </w:pPr>
      <w:bookmarkStart w:id="1" w:name="_Toc5109"/>
      <w:bookmarkStart w:id="2" w:name="_Toc2927"/>
      <w:bookmarkStart w:id="3" w:name="_Toc31579"/>
      <w:bookmarkStart w:id="4" w:name="_Toc2603"/>
      <w:bookmarkStart w:id="5" w:name="_Toc10811"/>
      <w:bookmarkStart w:id="6" w:name="_Toc20709"/>
      <w:bookmarkStart w:id="7" w:name="_Toc13569"/>
      <w:bookmarkStart w:id="8" w:name="_Toc13154"/>
      <w:bookmarkStart w:id="9" w:name="_Toc31284"/>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pPr>
        <w:pStyle w:val="4"/>
        <w:spacing w:line="480" w:lineRule="auto"/>
        <w:rPr>
          <w:rFonts w:hint="eastAsia" w:ascii="仿宋_GB2312" w:hAnsi="仿宋_GB2312" w:eastAsia="仿宋_GB2312" w:cs="仿宋_GB2312"/>
          <w:sz w:val="24"/>
          <w:szCs w:val="24"/>
        </w:rPr>
      </w:pP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一、报价函及报价函附录</w:t>
      </w: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二、法定代表人身份证明或附有法定代表人身份证明的授权委托书</w:t>
      </w: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三、资质审查资料</w:t>
      </w: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四、报价人须知前附表规定的其他材料</w:t>
      </w:r>
    </w:p>
    <w:p>
      <w:pPr>
        <w:pStyle w:val="4"/>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w:t>
      </w:r>
      <w:r>
        <w:rPr>
          <w:rFonts w:hint="eastAsia" w:ascii="仿宋_GB2312" w:hAnsi="仿宋_GB2312" w:eastAsia="仿宋_GB2312" w:cs="仿宋_GB2312"/>
          <w:sz w:val="24"/>
          <w:szCs w:val="24"/>
          <w:lang w:val="en-US" w:eastAsia="zh-CN"/>
        </w:rPr>
        <w:t>招标比选</w:t>
      </w:r>
      <w:r>
        <w:rPr>
          <w:rFonts w:hint="eastAsia" w:ascii="仿宋_GB2312" w:hAnsi="仿宋_GB2312" w:eastAsia="仿宋_GB2312" w:cs="仿宋_GB2312"/>
          <w:sz w:val="24"/>
          <w:szCs w:val="24"/>
        </w:rPr>
        <w:t>文件补遗书（如果有）</w:t>
      </w:r>
    </w:p>
    <w:p>
      <w:pPr>
        <w:pStyle w:val="4"/>
        <w:spacing w:line="480" w:lineRule="auto"/>
        <w:rPr>
          <w:rFonts w:hint="eastAsia" w:ascii="仿宋_GB2312" w:hAnsi="仿宋_GB2312" w:eastAsia="仿宋_GB2312" w:cs="仿宋_GB2312"/>
          <w:sz w:val="24"/>
          <w:szCs w:val="24"/>
        </w:rPr>
      </w:pPr>
    </w:p>
    <w:p>
      <w:pPr>
        <w:pStyle w:val="4"/>
        <w:spacing w:line="48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widowControl/>
        <w:spacing w:line="440" w:lineRule="exact"/>
        <w:jc w:val="left"/>
        <w:outlineLvl w:val="1"/>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一、报价函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报价函</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四川成乐高速公路有限责任公司运营管理分公司：</w:t>
      </w:r>
    </w:p>
    <w:p>
      <w:pPr>
        <w:pStyle w:val="4"/>
        <w:spacing w:line="360" w:lineRule="auto"/>
        <w:ind w:firstLine="420"/>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公路有限责任公司运营管理分公司车辆采购项目比选招标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4"/>
        <w:spacing w:line="360" w:lineRule="auto"/>
        <w:ind w:firstLine="420"/>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2、我方报价为：</w:t>
      </w:r>
    </w:p>
    <w:tbl>
      <w:tblPr>
        <w:tblStyle w:val="11"/>
        <w:tblW w:w="811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50"/>
        <w:gridCol w:w="2880"/>
        <w:gridCol w:w="229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车型</w:t>
            </w:r>
          </w:p>
        </w:tc>
        <w:tc>
          <w:tcPr>
            <w:tcW w:w="75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品牌</w:t>
            </w:r>
          </w:p>
        </w:tc>
        <w:tc>
          <w:tcPr>
            <w:tcW w:w="288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报价（含购置税、上牌费）</w:t>
            </w:r>
          </w:p>
        </w:tc>
        <w:tc>
          <w:tcPr>
            <w:tcW w:w="2295"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车辆交付时间（自合同签订之日起算）</w:t>
            </w:r>
          </w:p>
        </w:tc>
        <w:tc>
          <w:tcPr>
            <w:tcW w:w="1440" w:type="dxa"/>
          </w:tcPr>
          <w:p>
            <w:pPr>
              <w:pStyle w:val="4"/>
              <w:spacing w:line="360" w:lineRule="auto"/>
              <w:ind w:firstLine="240" w:firstLineChars="100"/>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5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c>
          <w:tcPr>
            <w:tcW w:w="75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c>
          <w:tcPr>
            <w:tcW w:w="288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c>
          <w:tcPr>
            <w:tcW w:w="2295"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c>
          <w:tcPr>
            <w:tcW w:w="1440" w:type="dxa"/>
          </w:tcPr>
          <w:p>
            <w:pPr>
              <w:pStyle w:val="4"/>
              <w:spacing w:line="360" w:lineRule="auto"/>
              <w:outlineLvl w:val="1"/>
              <w:rPr>
                <w:rFonts w:hint="eastAsia" w:ascii="仿宋_GB2312" w:hAnsi="仿宋_GB2312" w:eastAsia="仿宋_GB2312" w:cs="仿宋_GB2312"/>
                <w:sz w:val="24"/>
                <w:szCs w:val="24"/>
                <w:vertAlign w:val="baseline"/>
                <w:lang w:val="en-US" w:eastAsia="zh-CN"/>
              </w:rPr>
            </w:pPr>
          </w:p>
        </w:tc>
      </w:tr>
    </w:tbl>
    <w:p>
      <w:pPr>
        <w:pStyle w:val="4"/>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4"/>
        <w:spacing w:line="360" w:lineRule="auto"/>
        <w:ind w:firstLine="43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（3）我方承诺在询价文件规定及合同约定的期限内完成并移交全部合同项目。</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4"/>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二、法定代表人身份证明或附有法定代表人身份证明的授权委托书</w:t>
      </w:r>
    </w:p>
    <w:p>
      <w:pPr>
        <w:pStyle w:val="4"/>
        <w:spacing w:line="360" w:lineRule="auto"/>
        <w:rPr>
          <w:rFonts w:hint="eastAsia" w:ascii="仿宋_GB2312" w:hAnsi="仿宋_GB2312" w:eastAsia="仿宋_GB2312" w:cs="仿宋_GB2312"/>
          <w:b/>
          <w:sz w:val="24"/>
          <w:szCs w:val="24"/>
        </w:rPr>
      </w:pPr>
    </w:p>
    <w:p>
      <w:pPr>
        <w:pStyle w:val="4"/>
        <w:spacing w:line="360" w:lineRule="auto"/>
        <w:rPr>
          <w:rFonts w:hint="eastAsia" w:ascii="仿宋_GB2312" w:hAnsi="仿宋_GB2312" w:eastAsia="仿宋_GB2312" w:cs="仿宋_GB2312"/>
          <w:b/>
          <w:sz w:val="24"/>
          <w:szCs w:val="24"/>
        </w:rPr>
      </w:pPr>
    </w:p>
    <w:p>
      <w:pPr>
        <w:pStyle w:val="4"/>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（一）法定代表人身份证明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报价人名称：</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经营期限：</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（法定代表人签字）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（报价人名称）的法定代表人。</w:t>
      </w:r>
    </w:p>
    <w:p>
      <w:pPr>
        <w:spacing w:line="360" w:lineRule="auto"/>
        <w:ind w:firstLine="420"/>
        <w:rPr>
          <w:rFonts w:hint="eastAsia" w:ascii="仿宋_GB2312" w:hAnsi="仿宋_GB2312" w:eastAsia="仿宋_GB2312" w:cs="仿宋_GB2312"/>
          <w:sz w:val="24"/>
          <w:szCs w:val="24"/>
        </w:rPr>
      </w:pP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pPr>
        <w:spacing w:line="360" w:lineRule="auto"/>
        <w:ind w:firstLine="420"/>
        <w:rPr>
          <w:rFonts w:hint="eastAsia" w:ascii="仿宋_GB2312" w:hAnsi="仿宋_GB2312" w:eastAsia="仿宋_GB2312" w:cs="仿宋_GB2312"/>
          <w:sz w:val="24"/>
          <w:szCs w:val="24"/>
        </w:rPr>
      </w:pPr>
    </w:p>
    <w:p>
      <w:pPr>
        <w:spacing w:line="360" w:lineRule="auto"/>
        <w:ind w:firstLine="420"/>
        <w:rPr>
          <w:rFonts w:hint="eastAsia" w:ascii="仿宋_GB2312" w:hAnsi="仿宋_GB2312" w:eastAsia="仿宋_GB2312" w:cs="仿宋_GB2312"/>
          <w:sz w:val="24"/>
          <w:szCs w:val="24"/>
        </w:rPr>
      </w:pPr>
    </w:p>
    <w:p>
      <w:pPr>
        <w:spacing w:line="360" w:lineRule="auto"/>
        <w:ind w:firstLine="4440" w:firstLineChars="18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w:t>
      </w:r>
      <w:r>
        <w:rPr>
          <w:rFonts w:hint="eastAsia" w:ascii="仿宋_GB2312" w:hAnsi="仿宋_GB2312" w:eastAsia="仿宋_GB2312" w:cs="仿宋_GB2312"/>
          <w:sz w:val="24"/>
          <w:szCs w:val="24"/>
          <w:u w:val="single"/>
        </w:rPr>
        <w:t xml:space="preserve">   （全称）          </w:t>
      </w:r>
      <w:r>
        <w:rPr>
          <w:rFonts w:hint="eastAsia" w:ascii="仿宋_GB2312" w:hAnsi="仿宋_GB2312" w:eastAsia="仿宋_GB2312" w:cs="仿宋_GB2312"/>
          <w:sz w:val="24"/>
          <w:szCs w:val="24"/>
        </w:rPr>
        <w:t>（盖单位章）</w:t>
      </w: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注：</w:t>
      </w:r>
      <w:r>
        <w:rPr>
          <w:rFonts w:hint="eastAsia" w:ascii="仿宋_GB2312" w:hAnsi="仿宋_GB2312" w:eastAsia="仿宋_GB2312" w:cs="仿宋_GB2312"/>
          <w:sz w:val="24"/>
          <w:szCs w:val="24"/>
        </w:rPr>
        <w:t>如果由法定代表人签署报价文件，仅提供本表即可。</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b/>
          <w:sz w:val="24"/>
          <w:szCs w:val="24"/>
        </w:rPr>
        <w:t>（二）授权委托书（如果有）</w:t>
      </w:r>
    </w:p>
    <w:p>
      <w:pPr>
        <w:spacing w:line="360" w:lineRule="auto"/>
        <w:rPr>
          <w:rFonts w:hint="eastAsia" w:ascii="仿宋_GB2312" w:hAnsi="仿宋_GB2312" w:eastAsia="仿宋_GB2312" w:cs="仿宋_GB2312"/>
          <w:sz w:val="24"/>
          <w:szCs w:val="24"/>
        </w:rPr>
      </w:pP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（报价人名称）的法定代表人，现委托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（姓名）为我方代理人。代理人根据授权，以我方名义签署、澄清、说明、补正、递交、撤回、修改</w:t>
      </w:r>
      <w:r>
        <w:rPr>
          <w:rFonts w:hint="eastAsia" w:ascii="仿宋_GB2312" w:hAnsi="仿宋_GB2312" w:eastAsia="仿宋_GB2312" w:cs="仿宋_GB2312"/>
          <w:sz w:val="24"/>
          <w:szCs w:val="24"/>
          <w:u w:val="single"/>
        </w:rPr>
        <w:t xml:space="preserve">     （项目名称）           </w:t>
      </w:r>
      <w:r>
        <w:rPr>
          <w:rFonts w:hint="eastAsia" w:ascii="仿宋_GB2312" w:hAnsi="仿宋_GB2312" w:eastAsia="仿宋_GB2312" w:cs="仿宋_GB2312"/>
          <w:sz w:val="24"/>
          <w:szCs w:val="24"/>
        </w:rPr>
        <w:t>的报价文件、签订合同和处理有关事宜，其法律后果由我方承担。</w:t>
      </w: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委托期限：</w:t>
      </w:r>
      <w:r>
        <w:rPr>
          <w:rFonts w:hint="eastAsia" w:ascii="仿宋_GB2312" w:hAnsi="仿宋_GB2312" w:eastAsia="仿宋_GB2312" w:cs="仿宋_GB2312"/>
          <w:sz w:val="24"/>
          <w:szCs w:val="24"/>
          <w:u w:val="single"/>
        </w:rPr>
        <w:t xml:space="preserve"> 本项目报价有效期内  </w:t>
      </w:r>
      <w:r>
        <w:rPr>
          <w:rFonts w:hint="eastAsia" w:ascii="仿宋_GB2312" w:hAnsi="仿宋_GB2312" w:eastAsia="仿宋_GB2312" w:cs="仿宋_GB2312"/>
          <w:sz w:val="24"/>
          <w:szCs w:val="24"/>
        </w:rPr>
        <w:t>。</w:t>
      </w:r>
    </w:p>
    <w:p>
      <w:pPr>
        <w:tabs>
          <w:tab w:val="left" w:pos="3855"/>
        </w:tabs>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代理人无转委托权</w:t>
      </w:r>
    </w:p>
    <w:p>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附：法定代表人身份证明</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  价  人：</w:t>
      </w:r>
      <w:r>
        <w:rPr>
          <w:rFonts w:hint="eastAsia" w:ascii="仿宋_GB2312" w:hAnsi="仿宋_GB2312" w:eastAsia="仿宋_GB2312" w:cs="仿宋_GB2312"/>
          <w:sz w:val="24"/>
          <w:szCs w:val="24"/>
          <w:u w:val="single"/>
        </w:rPr>
        <w:t xml:space="preserve">       （全称）           </w:t>
      </w:r>
      <w:r>
        <w:rPr>
          <w:rFonts w:hint="eastAsia" w:ascii="仿宋_GB2312" w:hAnsi="仿宋_GB2312" w:eastAsia="仿宋_GB2312" w:cs="仿宋_GB2312"/>
          <w:sz w:val="24"/>
          <w:szCs w:val="24"/>
        </w:rPr>
        <w:t>（盖单位章）</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r>
        <w:rPr>
          <w:rFonts w:hint="eastAsia" w:ascii="仿宋_GB2312" w:hAnsi="仿宋_GB2312" w:eastAsia="仿宋_GB2312" w:cs="仿宋_GB2312"/>
          <w:sz w:val="24"/>
          <w:szCs w:val="24"/>
          <w:u w:val="single"/>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r>
        <w:rPr>
          <w:rFonts w:hint="eastAsia" w:ascii="仿宋_GB2312" w:hAnsi="仿宋_GB2312" w:eastAsia="仿宋_GB2312" w:cs="仿宋_GB2312"/>
          <w:sz w:val="24"/>
          <w:szCs w:val="24"/>
          <w:u w:val="single"/>
        </w:rPr>
        <w:t xml:space="preserve">                                       </w:t>
      </w:r>
    </w:p>
    <w:p>
      <w:pPr>
        <w:spacing w:line="360" w:lineRule="auto"/>
        <w:ind w:firstLine="2400" w:firstLineChars="1000"/>
        <w:rPr>
          <w:rFonts w:hint="eastAsia" w:ascii="仿宋_GB2312" w:hAnsi="仿宋_GB2312" w:eastAsia="仿宋_GB2312" w:cs="仿宋_GB2312"/>
          <w:sz w:val="24"/>
          <w:szCs w:val="24"/>
        </w:rPr>
      </w:pPr>
    </w:p>
    <w:p>
      <w:pPr>
        <w:spacing w:line="360" w:lineRule="auto"/>
        <w:ind w:firstLine="2400" w:firstLineChars="1000"/>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 1、委托代理人只能是一个人，且不能再授予他人，否则询价人将认为其授权无效。</w:t>
      </w:r>
    </w:p>
    <w:p>
      <w:pPr>
        <w:spacing w:line="360" w:lineRule="auto"/>
        <w:ind w:firstLine="590" w:firstLineChars="24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2、报价人的法定代表人授权书应加盖报价人公章，授权人和被授权人均须在授权书上签字，不得使用签名章代替。</w:t>
      </w:r>
    </w:p>
    <w:p>
      <w:pPr>
        <w:spacing w:line="360" w:lineRule="auto"/>
        <w:ind w:firstLine="590" w:firstLineChars="24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3、授权书后应附授权人和被授权人身份证彩色影印件，并保证清晰有效；</w:t>
      </w:r>
    </w:p>
    <w:p>
      <w:pPr>
        <w:pStyle w:val="4"/>
        <w:spacing w:line="360" w:lineRule="auto"/>
        <w:ind w:firstLine="472" w:firstLineChars="1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4、如果没有委托代理人的，应提供法定代表人身份证明。否则不通过其初步评审。</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三</w:t>
      </w:r>
      <w:r>
        <w:rPr>
          <w:rFonts w:hint="eastAsia" w:ascii="仿宋_GB2312" w:hAnsi="仿宋_GB2312" w:eastAsia="仿宋_GB2312" w:cs="仿宋_GB2312"/>
          <w:b/>
          <w:sz w:val="24"/>
          <w:szCs w:val="24"/>
        </w:rPr>
        <w:t>、资格审查资料</w:t>
      </w:r>
    </w:p>
    <w:p>
      <w:pPr>
        <w:pStyle w:val="4"/>
        <w:spacing w:line="360" w:lineRule="auto"/>
        <w:jc w:val="center"/>
        <w:outlineLvl w:val="1"/>
        <w:rPr>
          <w:rFonts w:hint="eastAsia" w:ascii="仿宋_GB2312" w:hAnsi="仿宋_GB2312" w:eastAsia="仿宋_GB2312" w:cs="仿宋_GB2312"/>
          <w:b/>
          <w:sz w:val="24"/>
          <w:szCs w:val="24"/>
        </w:rPr>
      </w:pPr>
      <w:bookmarkStart w:id="10" w:name="_Toc199226068"/>
      <w:bookmarkStart w:id="11" w:name="_Toc197944308"/>
      <w:r>
        <w:rPr>
          <w:rFonts w:hint="eastAsia" w:ascii="仿宋_GB2312" w:hAnsi="仿宋_GB2312" w:eastAsia="仿宋_GB2312" w:cs="仿宋_GB2312"/>
          <w:b/>
          <w:sz w:val="24"/>
          <w:szCs w:val="24"/>
        </w:rPr>
        <w:t>（一）报价人基本</w:t>
      </w:r>
      <w:bookmarkEnd w:id="10"/>
      <w:bookmarkEnd w:id="11"/>
      <w:r>
        <w:rPr>
          <w:rFonts w:hint="eastAsia" w:ascii="仿宋_GB2312" w:hAnsi="仿宋_GB2312" w:eastAsia="仿宋_GB2312" w:cs="仿宋_GB2312"/>
          <w:b/>
          <w:sz w:val="24"/>
          <w:szCs w:val="24"/>
        </w:rPr>
        <w:t>资料</w:t>
      </w:r>
    </w:p>
    <w:p>
      <w:pPr>
        <w:spacing w:line="360" w:lineRule="auto"/>
        <w:ind w:firstLine="480" w:firstLineChars="200"/>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在此处应按本询价文件第一章第3条的相关要求，附上需提供的资格审查材料的影印件（并加盖单位鲜章），比如企业营业执照、资质证书等。</w:t>
      </w: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四、报价人须知前附表规定的其他材料</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五、询价文件补遗书（如果有）</w:t>
      </w:r>
    </w:p>
    <w:bookmarkEnd w:id="1"/>
    <w:bookmarkEnd w:id="2"/>
    <w:bookmarkEnd w:id="3"/>
    <w:bookmarkEnd w:id="4"/>
    <w:bookmarkEnd w:id="5"/>
    <w:bookmarkEnd w:id="6"/>
    <w:bookmarkEnd w:id="7"/>
    <w:bookmarkEnd w:id="8"/>
    <w:bookmarkEnd w:id="9"/>
    <w:p>
      <w:pPr>
        <w:spacing w:line="360" w:lineRule="auto"/>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entury Gothic">
    <w:panose1 w:val="020B0502020202020204"/>
    <w:charset w:val="00"/>
    <w:family w:val="swiss"/>
    <w:pitch w:val="default"/>
    <w:sig w:usb0="00000287" w:usb1="00000000" w:usb2="00000000" w:usb3="00000000" w:csb0="2000009F" w:csb1="DFD70000"/>
  </w:font>
  <w:font w:name="汉鼎简宋体">
    <w:altName w:val="Arial Unicode MS"/>
    <w:panose1 w:val="02010609000101010101"/>
    <w:charset w:val="86"/>
    <w:family w:val="modern"/>
    <w:pitch w:val="default"/>
    <w:sig w:usb0="00000000" w:usb1="00000000" w:usb2="00000010" w:usb3="00000000" w:csb0="0004000A" w:csb1="00000000"/>
  </w:font>
  <w:font w:name="Roman 10cpi">
    <w:altName w:val="Courier New"/>
    <w:panose1 w:val="00000000000000000000"/>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HiddenHorzOCl">
    <w:altName w:val="宋体"/>
    <w:panose1 w:val="00000000000000000000"/>
    <w:charset w:val="86"/>
    <w:family w:val="swiss"/>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Calibri">
    <w:panose1 w:val="020F0502020204030204"/>
    <w:charset w:val="86"/>
    <w:family w:val="decorative"/>
    <w:pitch w:val="default"/>
    <w:sig w:usb0="E0002EFF" w:usb1="C000247B" w:usb2="00000009" w:usb3="00000000" w:csb0="200001FF" w:csb1="00000000"/>
  </w:font>
  <w:font w:name="方正楷体简体">
    <w:panose1 w:val="03000509000000000000"/>
    <w:charset w:val="86"/>
    <w:family w:val="auto"/>
    <w:pitch w:val="default"/>
    <w:sig w:usb0="00000001" w:usb1="080E0000" w:usb2="00000000" w:usb3="00000000" w:csb0="00040000" w:csb1="00000000"/>
  </w:font>
  <w:font w:name="Heiti SC Light">
    <w:altName w:val="Arial Unicode MS"/>
    <w:panose1 w:val="02000000000000000000"/>
    <w:charset w:val="50"/>
    <w:family w:val="auto"/>
    <w:pitch w:val="default"/>
    <w:sig w:usb0="00000000" w:usb1="00000000" w:usb2="00000010" w:usb3="00000000" w:csb0="00040000" w:csb1="00000000"/>
  </w:font>
  <w:font w:name="黑体">
    <w:panose1 w:val="02010600030101010101"/>
    <w:charset w:val="50"/>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30</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A58F4"/>
    <w:multiLevelType w:val="singleLevel"/>
    <w:tmpl w:val="5BDA58F4"/>
    <w:lvl w:ilvl="0" w:tentative="0">
      <w:start w:val="1"/>
      <w:numFmt w:val="chineseCounting"/>
      <w:suff w:val="nothing"/>
      <w:lvlText w:val="%1、"/>
      <w:lvlJc w:val="left"/>
    </w:lvl>
  </w:abstractNum>
  <w:abstractNum w:abstractNumId="1">
    <w:nsid w:val="5D3A73B1"/>
    <w:multiLevelType w:val="singleLevel"/>
    <w:tmpl w:val="5D3A73B1"/>
    <w:lvl w:ilvl="0" w:tentative="0">
      <w:start w:val="2"/>
      <w:numFmt w:val="decimal"/>
      <w:suff w:val="nothing"/>
      <w:lvlText w:val="%1、"/>
      <w:lvlJc w:val="left"/>
    </w:lvl>
  </w:abstractNum>
  <w:abstractNum w:abstractNumId="2">
    <w:nsid w:val="5D4934D3"/>
    <w:multiLevelType w:val="singleLevel"/>
    <w:tmpl w:val="5D4934D3"/>
    <w:lvl w:ilvl="0" w:tentative="0">
      <w:start w:val="4"/>
      <w:numFmt w:val="chineseCounting"/>
      <w:suff w:val="nothing"/>
      <w:lvlText w:val="%1、"/>
      <w:lvlJc w:val="left"/>
    </w:lvl>
  </w:abstractNum>
  <w:abstractNum w:abstractNumId="3">
    <w:nsid w:val="5D493A25"/>
    <w:multiLevelType w:val="singleLevel"/>
    <w:tmpl w:val="5D493A25"/>
    <w:lvl w:ilvl="0" w:tentative="0">
      <w:start w:val="2"/>
      <w:numFmt w:val="chineseCounting"/>
      <w:suff w:val="nothing"/>
      <w:lvlText w:val="%1、"/>
      <w:lvlJc w:val="left"/>
    </w:lvl>
  </w:abstractNum>
  <w:abstractNum w:abstractNumId="4">
    <w:nsid w:val="5D493A55"/>
    <w:multiLevelType w:val="singleLevel"/>
    <w:tmpl w:val="5D493A55"/>
    <w:lvl w:ilvl="0" w:tentative="0">
      <w:start w:val="1"/>
      <w:numFmt w:val="decimal"/>
      <w:suff w:val="nothing"/>
      <w:lvlText w:val="（%1）"/>
      <w:lvlJc w:val="left"/>
    </w:lvl>
  </w:abstractNum>
  <w:abstractNum w:abstractNumId="5">
    <w:nsid w:val="5D494F92"/>
    <w:multiLevelType w:val="singleLevel"/>
    <w:tmpl w:val="5D494F92"/>
    <w:lvl w:ilvl="0" w:tentative="0">
      <w:start w:val="5"/>
      <w:numFmt w:val="chineseCounting"/>
      <w:suff w:val="space"/>
      <w:lvlText w:val="第%1章"/>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6661F"/>
    <w:rsid w:val="03217451"/>
    <w:rsid w:val="080864FF"/>
    <w:rsid w:val="0C8E0BBB"/>
    <w:rsid w:val="124D1BD8"/>
    <w:rsid w:val="1476661F"/>
    <w:rsid w:val="154A6576"/>
    <w:rsid w:val="17BC290C"/>
    <w:rsid w:val="193D402D"/>
    <w:rsid w:val="1AB03F29"/>
    <w:rsid w:val="1FB422AC"/>
    <w:rsid w:val="20407EE6"/>
    <w:rsid w:val="27632557"/>
    <w:rsid w:val="2A7A5FB1"/>
    <w:rsid w:val="31430B03"/>
    <w:rsid w:val="331F56EA"/>
    <w:rsid w:val="34373C5D"/>
    <w:rsid w:val="39C75880"/>
    <w:rsid w:val="3A796102"/>
    <w:rsid w:val="3BEA7B2F"/>
    <w:rsid w:val="47F72182"/>
    <w:rsid w:val="4D0B0DF3"/>
    <w:rsid w:val="52984BAD"/>
    <w:rsid w:val="54741EF0"/>
    <w:rsid w:val="586826E3"/>
    <w:rsid w:val="645364B4"/>
    <w:rsid w:val="6F913684"/>
    <w:rsid w:val="714843D2"/>
    <w:rsid w:val="718A6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440" w:lineRule="exact"/>
      <w:outlineLvl w:val="0"/>
    </w:pPr>
    <w:rPr>
      <w:sz w:val="24"/>
      <w:szCs w:val="24"/>
      <w:u w:val="single"/>
    </w:rPr>
  </w:style>
  <w:style w:type="character" w:default="1" w:styleId="7">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line="360" w:lineRule="auto"/>
      <w:jc w:val="center"/>
    </w:pPr>
    <w:rPr>
      <w:rFonts w:ascii="宋体"/>
      <w:b/>
      <w:sz w:val="44"/>
    </w:rPr>
  </w:style>
  <w:style w:type="paragraph" w:styleId="4">
    <w:name w:val="Plain Text"/>
    <w:basedOn w:val="1"/>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rPr>
      <w:rFonts w:cs="Times New Roman"/>
    </w:rPr>
  </w:style>
  <w:style w:type="character" w:styleId="9">
    <w:name w:val="Hyperlink"/>
    <w:basedOn w:val="7"/>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
    <w:name w:val="xl32"/>
    <w:basedOn w:val="1"/>
    <w:qFormat/>
    <w:uiPriority w:val="0"/>
    <w:pPr>
      <w:widowControl/>
      <w:spacing w:before="100" w:beforeAutospacing="1" w:after="100" w:afterAutospacing="1"/>
      <w:jc w:val="center"/>
      <w:textAlignment w:val="center"/>
    </w:pPr>
    <w:rPr>
      <w:rFonts w:ascii="黑体" w:hAnsi="Arial Unicode MS" w:eastAsia="黑体"/>
      <w:b/>
      <w:bCs/>
      <w:kern w:val="0"/>
      <w:sz w:val="36"/>
      <w:szCs w:val="36"/>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2018-10-31T03:26:00Z</dcterms:created>
  <dc:creator>朱泠颖</dc:creator>
  <cp:lastModifiedBy>王超</cp:lastModifiedBy>
  <cp:lastPrinted>2019-08-14T01:10:00Z</cp:lastPrinted>
  <dcterms:modified xsi:type="dcterms:W3CDTF">2019-08-20T03:26:46Z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